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CD93" w14:textId="77777777" w:rsidR="005E706A" w:rsidRDefault="000E5808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  <w:lang w:eastAsia="zh-CN"/>
        </w:rPr>
        <w:t>w</w:t>
      </w:r>
      <w:r>
        <w:rPr>
          <w:rFonts w:ascii="Times New Roman" w:hAnsi="Times New Roman" w:cs="Times New Roman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szCs w:val="24"/>
        </w:rPr>
        <w:t>ρ</w:t>
      </w:r>
      <w:r>
        <w:rPr>
          <w:rFonts w:ascii="Times New Roman" w:hAnsi="Times New Roman" w:cs="Times New Roman"/>
          <w:szCs w:val="24"/>
          <w:vertAlign w:val="subscript"/>
        </w:rPr>
        <w:t>w</w:t>
      </w:r>
      <w:proofErr w:type="spellEnd"/>
      <w:r>
        <w:rPr>
          <w:rFonts w:ascii="Times New Roman" w:hAnsi="Times New Roman" w:cs="Times New Roman"/>
          <w:szCs w:val="24"/>
        </w:rPr>
        <w:t xml:space="preserve"> is the water density (0.998 g cm</w:t>
      </w:r>
      <w:r>
        <w:rPr>
          <w:rFonts w:ascii="Times New Roman" w:hAnsi="Times New Roman" w:cs="Times New Roman"/>
          <w:szCs w:val="24"/>
          <w:vertAlign w:val="superscript"/>
        </w:rPr>
        <w:t>-3</w:t>
      </w:r>
      <w:r>
        <w:rPr>
          <w:rFonts w:ascii="Times New Roman" w:hAnsi="Times New Roman" w:cs="Times New Roman"/>
          <w:szCs w:val="24"/>
        </w:rPr>
        <w:t>), A is the effective area of the membrane (cm</w:t>
      </w:r>
      <w:r>
        <w:rPr>
          <w:rFonts w:ascii="Times New Roman" w:hAnsi="Times New Roman" w:cs="Times New Roman" w:hint="eastAsia"/>
          <w:szCs w:val="24"/>
          <w:vertAlign w:val="superscript"/>
          <w:lang w:eastAsia="zh-CN"/>
        </w:rPr>
        <w:t>2</w:t>
      </w:r>
      <w:r>
        <w:rPr>
          <w:rFonts w:ascii="Times New Roman" w:hAnsi="Times New Roman" w:cs="Times New Roman"/>
          <w:szCs w:val="24"/>
        </w:rPr>
        <w:t xml:space="preserve">) and l is the membrane thickness in a wet state (cm). </w:t>
      </w:r>
    </w:p>
    <w:p w14:paraId="22E2456A" w14:textId="77777777" w:rsidR="005E706A" w:rsidRDefault="005E706A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00B050"/>
          <w:szCs w:val="24"/>
        </w:rPr>
      </w:pPr>
    </w:p>
    <w:p w14:paraId="5D8DB225" w14:textId="77777777" w:rsidR="005E706A" w:rsidRDefault="000E5808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S3. Disc diffusion method</w:t>
      </w:r>
    </w:p>
    <w:p w14:paraId="1FF82FF4" w14:textId="77777777" w:rsidR="005E706A" w:rsidRDefault="000E5808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Style w:val="apple-converted-space"/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 xml:space="preserve"> </w:t>
      </w:r>
      <w:r>
        <w:rPr>
          <w:rStyle w:val="apple-converted-space"/>
          <w:rFonts w:ascii="Times New Roman" w:hAnsi="Times New Roman" w:cs="Times New Roman"/>
          <w:b/>
          <w:i/>
          <w:szCs w:val="24"/>
        </w:rPr>
        <w:t>Microbial strains used for the experiments</w:t>
      </w:r>
    </w:p>
    <w:p w14:paraId="0F545672" w14:textId="77777777" w:rsidR="005E706A" w:rsidRDefault="000E5808">
      <w:pPr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Style w:val="apple-converted-space"/>
          <w:rFonts w:ascii="Times New Roman" w:hAnsi="Times New Roman" w:cs="Times New Roman"/>
          <w:szCs w:val="24"/>
        </w:rPr>
      </w:pPr>
      <w:r>
        <w:rPr>
          <w:rStyle w:val="apple-converted-space"/>
          <w:rFonts w:ascii="Times New Roman" w:hAnsi="Times New Roman" w:cs="Times New Roman"/>
          <w:szCs w:val="24"/>
        </w:rPr>
        <w:t xml:space="preserve">All the microbial strains were </w:t>
      </w:r>
      <w:r>
        <w:rPr>
          <w:rStyle w:val="apple-converted-space"/>
          <w:rFonts w:ascii="Times New Roman" w:hAnsi="Times New Roman" w:cs="Times New Roman"/>
          <w:szCs w:val="24"/>
          <w:lang w:eastAsia="zh-CN"/>
        </w:rPr>
        <w:t>derived</w:t>
      </w:r>
      <w:r>
        <w:rPr>
          <w:rStyle w:val="apple-converted-space"/>
          <w:rFonts w:ascii="Times New Roman" w:hAnsi="Times New Roman" w:cs="Times New Roman"/>
          <w:szCs w:val="24"/>
        </w:rPr>
        <w:t xml:space="preserve"> from Microbial Type Culture and Collection (MTCC) as lyophilized slants and were sub-cultured as </w:t>
      </w:r>
      <w:r>
        <w:rPr>
          <w:rStyle w:val="apple-converted-space"/>
          <w:rFonts w:ascii="Times New Roman" w:hAnsi="Times New Roman" w:cs="Times New Roman"/>
          <w:szCs w:val="24"/>
          <w:lang w:eastAsia="zh-CN"/>
        </w:rPr>
        <w:t xml:space="preserve">the </w:t>
      </w:r>
      <w:r>
        <w:rPr>
          <w:rStyle w:val="apple-converted-space"/>
          <w:rFonts w:ascii="Times New Roman" w:hAnsi="Times New Roman" w:cs="Times New Roman"/>
          <w:szCs w:val="24"/>
        </w:rPr>
        <w:t xml:space="preserve">24 h fresh broth culture. </w:t>
      </w:r>
      <w:r>
        <w:rPr>
          <w:rFonts w:ascii="Times New Roman" w:hAnsi="Times New Roman" w:cs="Times New Roman"/>
          <w:bCs/>
          <w:szCs w:val="24"/>
        </w:rPr>
        <w:t xml:space="preserve">The pure bacterial strains </w:t>
      </w:r>
      <w:r>
        <w:rPr>
          <w:rFonts w:ascii="Times New Roman" w:hAnsi="Times New Roman" w:cs="Times New Roman"/>
          <w:bCs/>
          <w:szCs w:val="24"/>
          <w:lang w:eastAsia="zh-CN"/>
        </w:rPr>
        <w:t>including,</w:t>
      </w:r>
      <w:r>
        <w:rPr>
          <w:rFonts w:ascii="Times New Roman" w:hAnsi="Times New Roman" w:cs="Times New Roman"/>
          <w:szCs w:val="24"/>
        </w:rPr>
        <w:t xml:space="preserve"> Staphylococcus aureus (S. aureus, MTCC 121), Bacillus subtilis (MTCC 121) and Escherichia coli (E. coli, MTCC 1302)</w:t>
      </w:r>
      <w:r>
        <w:rPr>
          <w:rFonts w:ascii="Times New Roman" w:hAnsi="Times New Roman" w:cs="Times New Roman"/>
          <w:szCs w:val="24"/>
          <w:lang w:eastAsia="zh-CN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eastAsia="zh-CN"/>
        </w:rPr>
        <w:t xml:space="preserve">as well as </w:t>
      </w:r>
      <w:r>
        <w:rPr>
          <w:rFonts w:ascii="Times New Roman" w:hAnsi="Times New Roman" w:cs="Times New Roman"/>
          <w:szCs w:val="24"/>
        </w:rPr>
        <w:t>the pure</w:t>
      </w:r>
      <w:r>
        <w:rPr>
          <w:rFonts w:ascii="Times New Roman" w:hAnsi="Times New Roman" w:cs="Times New Roman"/>
          <w:bCs/>
          <w:szCs w:val="24"/>
        </w:rPr>
        <w:t xml:space="preserve"> fungal strains </w:t>
      </w:r>
      <w:r>
        <w:rPr>
          <w:rFonts w:ascii="Times New Roman" w:hAnsi="Times New Roman" w:cs="Times New Roman"/>
          <w:bCs/>
          <w:szCs w:val="24"/>
          <w:lang w:eastAsia="zh-CN"/>
        </w:rPr>
        <w:t>including</w:t>
      </w:r>
      <w:r>
        <w:rPr>
          <w:rFonts w:ascii="Times New Roman" w:hAnsi="Times New Roman" w:cs="Times New Roman"/>
          <w:szCs w:val="24"/>
        </w:rPr>
        <w:t xml:space="preserve"> Candida species (</w:t>
      </w:r>
      <w:r>
        <w:rPr>
          <w:rFonts w:ascii="Times New Roman" w:hAnsi="Times New Roman" w:cs="Times New Roman"/>
          <w:bCs/>
          <w:szCs w:val="24"/>
        </w:rPr>
        <w:t xml:space="preserve">Candida </w:t>
      </w:r>
      <w:proofErr w:type="spellStart"/>
      <w:r>
        <w:rPr>
          <w:rFonts w:ascii="Times New Roman" w:hAnsi="Times New Roman" w:cs="Times New Roman"/>
          <w:bCs/>
          <w:szCs w:val="24"/>
        </w:rPr>
        <w:t>sp</w:t>
      </w:r>
      <w:proofErr w:type="spellEnd"/>
      <w:r>
        <w:rPr>
          <w:rFonts w:ascii="Times New Roman" w:hAnsi="Times New Roman" w:cs="Times New Roman"/>
          <w:szCs w:val="24"/>
        </w:rPr>
        <w:t xml:space="preserve">, MTCC 2768), </w:t>
      </w:r>
      <w:r>
        <w:rPr>
          <w:rFonts w:ascii="Times New Roman" w:hAnsi="Times New Roman" w:cs="Times New Roman"/>
          <w:bCs/>
          <w:szCs w:val="24"/>
        </w:rPr>
        <w:t>Aspergillus flavus</w:t>
      </w:r>
      <w:r>
        <w:rPr>
          <w:rFonts w:ascii="Times New Roman" w:hAnsi="Times New Roman" w:cs="Times New Roman"/>
          <w:szCs w:val="24"/>
        </w:rPr>
        <w:t xml:space="preserve"> (MTCC 277), Penicillium species (</w:t>
      </w:r>
      <w:r>
        <w:rPr>
          <w:rFonts w:ascii="Times New Roman" w:hAnsi="Times New Roman" w:cs="Times New Roman"/>
          <w:szCs w:val="24"/>
        </w:rPr>
        <w:t xml:space="preserve">MTCC 3321) and Mucor species, Mucor </w:t>
      </w:r>
      <w:proofErr w:type="spellStart"/>
      <w:r>
        <w:rPr>
          <w:rFonts w:ascii="Times New Roman" w:hAnsi="Times New Roman" w:cs="Times New Roman"/>
          <w:szCs w:val="24"/>
        </w:rPr>
        <w:t>sp</w:t>
      </w:r>
      <w:proofErr w:type="spellEnd"/>
      <w:r>
        <w:rPr>
          <w:rFonts w:ascii="Times New Roman" w:hAnsi="Times New Roman" w:cs="Times New Roman"/>
          <w:szCs w:val="24"/>
        </w:rPr>
        <w:t>, MTCC 3340)</w:t>
      </w:r>
      <w:r>
        <w:rPr>
          <w:rStyle w:val="apple-converted-space"/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were applied in </w:t>
      </w:r>
      <w:r>
        <w:rPr>
          <w:rFonts w:ascii="Times New Roman" w:hAnsi="Times New Roman" w:cs="Times New Roman" w:hint="eastAsia"/>
          <w:szCs w:val="24"/>
          <w:lang w:eastAsia="zh-CN"/>
        </w:rPr>
        <w:t>this study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Style w:val="apple-converted-space"/>
          <w:rFonts w:ascii="Times New Roman" w:hAnsi="Times New Roman" w:cs="Times New Roman"/>
          <w:szCs w:val="24"/>
        </w:rPr>
        <w:t xml:space="preserve">  </w:t>
      </w:r>
    </w:p>
    <w:p w14:paraId="31850CBC" w14:textId="77777777" w:rsidR="005E706A" w:rsidRDefault="000E5808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b/>
          <w:bCs/>
          <w:i/>
          <w:szCs w:val="24"/>
        </w:rPr>
        <w:t>Methodology</w:t>
      </w:r>
    </w:p>
    <w:p w14:paraId="58466069" w14:textId="77777777" w:rsidR="005E706A" w:rsidRDefault="000E5808">
      <w:pPr>
        <w:adjustRightInd w:val="0"/>
        <w:snapToGri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Disk diffusion method has been widely used to evaluate the anti-microbial activity of the </w:t>
      </w:r>
      <w:r>
        <w:rPr>
          <w:rFonts w:ascii="Times New Roman" w:hAnsi="Times New Roman" w:cs="Times New Roman"/>
          <w:szCs w:val="24"/>
          <w:lang w:eastAsia="zh-CN"/>
        </w:rPr>
        <w:t>sample</w:t>
      </w:r>
      <w:r>
        <w:rPr>
          <w:rFonts w:ascii="Times New Roman" w:hAnsi="Times New Roman" w:cs="Times New Roman"/>
          <w:szCs w:val="24"/>
        </w:rPr>
        <w:t>s</w:t>
      </w:r>
      <w:r>
        <w:rPr>
          <w:rStyle w:val="apple-converted-space"/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The agar plate surface </w:t>
      </w:r>
      <w:r>
        <w:rPr>
          <w:rFonts w:ascii="Times New Roman" w:hAnsi="Times New Roman" w:cs="Times New Roman"/>
          <w:szCs w:val="24"/>
          <w:lang w:eastAsia="zh-CN"/>
        </w:rPr>
        <w:t>was</w:t>
      </w:r>
      <w:r>
        <w:rPr>
          <w:rFonts w:ascii="Times New Roman" w:hAnsi="Times New Roman" w:cs="Times New Roman"/>
          <w:szCs w:val="24"/>
        </w:rPr>
        <w:t xml:space="preserve"> inoculated by spreading a specific v</w:t>
      </w:r>
      <w:r>
        <w:rPr>
          <w:rFonts w:ascii="Times New Roman" w:hAnsi="Times New Roman" w:cs="Times New Roman"/>
          <w:szCs w:val="24"/>
        </w:rPr>
        <w:t xml:space="preserve">olume (100 </w:t>
      </w:r>
      <w:proofErr w:type="spellStart"/>
      <w:r>
        <w:rPr>
          <w:rFonts w:ascii="Times New Roman" w:hAnsi="Times New Roman" w:cs="Times New Roman"/>
          <w:szCs w:val="24"/>
        </w:rPr>
        <w:t>μL</w:t>
      </w:r>
      <w:proofErr w:type="spellEnd"/>
      <w:r>
        <w:rPr>
          <w:rFonts w:ascii="Times New Roman" w:hAnsi="Times New Roman" w:cs="Times New Roman"/>
          <w:szCs w:val="24"/>
        </w:rPr>
        <w:t xml:space="preserve">) of the microbial inoculum over the entire agar surface. A disk having a diameter of 5 mm </w:t>
      </w:r>
      <w:r>
        <w:rPr>
          <w:rFonts w:ascii="Times New Roman" w:hAnsi="Times New Roman" w:cs="Times New Roman"/>
          <w:szCs w:val="24"/>
          <w:lang w:eastAsia="zh-CN"/>
        </w:rPr>
        <w:t>was</w:t>
      </w:r>
      <w:r>
        <w:rPr>
          <w:rFonts w:ascii="Times New Roman" w:hAnsi="Times New Roman" w:cs="Times New Roman"/>
          <w:szCs w:val="24"/>
        </w:rPr>
        <w:t xml:space="preserve"> placed aseptically onto the agar surface. Then, </w:t>
      </w:r>
      <w:r>
        <w:rPr>
          <w:rFonts w:ascii="Times New Roman" w:hAnsi="Times New Roman" w:cs="Times New Roman"/>
          <w:szCs w:val="24"/>
          <w:lang w:eastAsia="zh-CN"/>
        </w:rPr>
        <w:t xml:space="preserve">the </w:t>
      </w:r>
      <w:r>
        <w:rPr>
          <w:rFonts w:ascii="Times New Roman" w:hAnsi="Times New Roman" w:cs="Times New Roman"/>
          <w:szCs w:val="24"/>
        </w:rPr>
        <w:t xml:space="preserve">agar plates </w:t>
      </w:r>
      <w:r>
        <w:rPr>
          <w:rFonts w:ascii="Times New Roman" w:hAnsi="Times New Roman" w:cs="Times New Roman"/>
          <w:szCs w:val="24"/>
          <w:lang w:eastAsia="zh-CN"/>
        </w:rPr>
        <w:t>were</w:t>
      </w:r>
      <w:r>
        <w:rPr>
          <w:rFonts w:ascii="Times New Roman" w:hAnsi="Times New Roman" w:cs="Times New Roman"/>
          <w:szCs w:val="24"/>
        </w:rPr>
        <w:t xml:space="preserve"> incubated under </w:t>
      </w:r>
      <w:r>
        <w:rPr>
          <w:rFonts w:ascii="Times New Roman" w:hAnsi="Times New Roman" w:cs="Times New Roman"/>
          <w:szCs w:val="24"/>
          <w:lang w:eastAsia="zh-CN"/>
        </w:rPr>
        <w:t xml:space="preserve">the </w:t>
      </w:r>
      <w:r>
        <w:rPr>
          <w:rFonts w:ascii="Times New Roman" w:hAnsi="Times New Roman" w:cs="Times New Roman"/>
          <w:szCs w:val="24"/>
        </w:rPr>
        <w:t xml:space="preserve">compatible conditions </w:t>
      </w:r>
      <w:r>
        <w:rPr>
          <w:rFonts w:ascii="Times New Roman" w:hAnsi="Times New Roman" w:cs="Times New Roman"/>
          <w:szCs w:val="24"/>
          <w:lang w:eastAsia="zh-CN"/>
        </w:rPr>
        <w:t>dependent on</w:t>
      </w:r>
      <w:r>
        <w:rPr>
          <w:rFonts w:ascii="Times New Roman" w:hAnsi="Times New Roman" w:cs="Times New Roman"/>
          <w:szCs w:val="24"/>
        </w:rPr>
        <w:t xml:space="preserve"> the investigated microor</w:t>
      </w:r>
      <w:r>
        <w:rPr>
          <w:rFonts w:ascii="Times New Roman" w:hAnsi="Times New Roman" w:cs="Times New Roman"/>
          <w:szCs w:val="24"/>
        </w:rPr>
        <w:t>ganisms. The anti-microbial agent diffuse</w:t>
      </w:r>
      <w:r>
        <w:rPr>
          <w:rFonts w:ascii="Times New Roman" w:hAnsi="Times New Roman" w:cs="Times New Roman"/>
          <w:szCs w:val="24"/>
          <w:lang w:eastAsia="zh-CN"/>
        </w:rPr>
        <w:t>d</w:t>
      </w:r>
      <w:r>
        <w:rPr>
          <w:rFonts w:ascii="Times New Roman" w:hAnsi="Times New Roman" w:cs="Times New Roman"/>
          <w:szCs w:val="24"/>
        </w:rPr>
        <w:t xml:space="preserve"> in the agar medium and inhibit</w:t>
      </w:r>
      <w:r>
        <w:rPr>
          <w:rFonts w:ascii="Times New Roman" w:hAnsi="Times New Roman" w:cs="Times New Roman"/>
          <w:szCs w:val="24"/>
          <w:lang w:eastAsia="zh-CN"/>
        </w:rPr>
        <w:t>ed</w:t>
      </w:r>
      <w:r>
        <w:rPr>
          <w:rFonts w:ascii="Times New Roman" w:hAnsi="Times New Roman" w:cs="Times New Roman"/>
          <w:szCs w:val="24"/>
        </w:rPr>
        <w:t xml:space="preserve"> the growth of the microbial strain</w:t>
      </w:r>
      <w:r>
        <w:rPr>
          <w:rFonts w:ascii="Times New Roman" w:hAnsi="Times New Roman" w:cs="Times New Roman"/>
          <w:szCs w:val="24"/>
          <w:lang w:eastAsia="zh-CN"/>
        </w:rPr>
        <w:t>s</w:t>
      </w:r>
      <w:r>
        <w:rPr>
          <w:rFonts w:ascii="Times New Roman" w:hAnsi="Times New Roman" w:cs="Times New Roman"/>
          <w:szCs w:val="24"/>
        </w:rPr>
        <w:t>.</w:t>
      </w:r>
    </w:p>
    <w:p w14:paraId="1EED8D5D" w14:textId="77777777" w:rsidR="005E706A" w:rsidRDefault="000E580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b/>
          <w:bCs/>
          <w:i/>
          <w:szCs w:val="24"/>
        </w:rPr>
        <w:t>McFarland (0.5) inoculum preparation</w:t>
      </w:r>
    </w:p>
    <w:p w14:paraId="1A54EDDF" w14:textId="77777777" w:rsidR="005E706A" w:rsidRDefault="000E5808">
      <w:pPr>
        <w:autoSpaceDE w:val="0"/>
        <w:autoSpaceDN w:val="0"/>
        <w:adjustRightInd w:val="0"/>
        <w:snapToGri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The slants were swabbed with an inoculation loop and the culture was transferred to the microbial </w:t>
      </w:r>
      <w:r>
        <w:rPr>
          <w:rFonts w:ascii="Times New Roman" w:hAnsi="Times New Roman" w:cs="Times New Roman"/>
          <w:szCs w:val="24"/>
        </w:rPr>
        <w:t>culture broth. The broth was incubated at 37 °C until the growth reach</w:t>
      </w:r>
      <w:r>
        <w:rPr>
          <w:rFonts w:ascii="Times New Roman" w:hAnsi="Times New Roman" w:cs="Times New Roman"/>
          <w:szCs w:val="24"/>
          <w:lang w:eastAsia="zh-CN"/>
        </w:rPr>
        <w:t>ed</w:t>
      </w:r>
      <w:r>
        <w:rPr>
          <w:rFonts w:ascii="Times New Roman" w:hAnsi="Times New Roman" w:cs="Times New Roman"/>
          <w:szCs w:val="24"/>
        </w:rPr>
        <w:t xml:space="preserve"> turbidity equal to or greater than that of a 0.5 McFarland standard. The culture was adjusted with sterile distilled water to give a turbidity equivalent to the McFarland 0.5 standard</w:t>
      </w:r>
      <w:r>
        <w:rPr>
          <w:rFonts w:ascii="Times New Roman" w:hAnsi="Times New Roman" w:cs="Times New Roman"/>
          <w:szCs w:val="24"/>
        </w:rPr>
        <w:t xml:space="preserve"> [</w:t>
      </w:r>
      <w:r>
        <w:rPr>
          <w:rFonts w:ascii="Times New Roman" w:hAnsi="Times New Roman" w:cs="Times New Roman"/>
          <w:color w:val="0070C0"/>
          <w:szCs w:val="24"/>
        </w:rPr>
        <w:t>3</w:t>
      </w:r>
      <w:r>
        <w:rPr>
          <w:rFonts w:ascii="Times New Roman" w:hAnsi="Times New Roman" w:cs="Times New Roman"/>
          <w:szCs w:val="24"/>
        </w:rPr>
        <w:t xml:space="preserve">]. This can be done by visually comparing the appearance of </w:t>
      </w:r>
      <w:r>
        <w:rPr>
          <w:rFonts w:ascii="Times New Roman" w:hAnsi="Times New Roman" w:cs="Times New Roman"/>
          <w:szCs w:val="24"/>
          <w:lang w:eastAsia="zh-CN"/>
        </w:rPr>
        <w:t xml:space="preserve">the </w:t>
      </w:r>
      <w:r>
        <w:rPr>
          <w:rFonts w:ascii="Times New Roman" w:hAnsi="Times New Roman" w:cs="Times New Roman"/>
          <w:szCs w:val="24"/>
        </w:rPr>
        <w:t xml:space="preserve">black lines through the inoculum and </w:t>
      </w:r>
      <w:r>
        <w:rPr>
          <w:rFonts w:ascii="Times New Roman" w:hAnsi="Times New Roman" w:cs="Times New Roman"/>
          <w:szCs w:val="24"/>
          <w:lang w:eastAsia="zh-CN"/>
        </w:rPr>
        <w:t xml:space="preserve">the </w:t>
      </w:r>
      <w:r>
        <w:rPr>
          <w:rFonts w:ascii="Times New Roman" w:hAnsi="Times New Roman" w:cs="Times New Roman"/>
          <w:szCs w:val="24"/>
        </w:rPr>
        <w:t>McFarland standard suspensions</w:t>
      </w:r>
      <w:r>
        <w:rPr>
          <w:rFonts w:ascii="Times New Roman" w:hAnsi="Times New Roman" w:cs="Times New Roman"/>
          <w:szCs w:val="24"/>
          <w:lang w:eastAsia="zh-CN"/>
        </w:rPr>
        <w:t>, with</w:t>
      </w:r>
      <w:r>
        <w:rPr>
          <w:rFonts w:ascii="Times New Roman" w:hAnsi="Times New Roman" w:cs="Times New Roman"/>
          <w:szCs w:val="24"/>
        </w:rPr>
        <w:t xml:space="preserve"> a </w:t>
      </w:r>
      <w:r>
        <w:rPr>
          <w:rFonts w:ascii="Times New Roman" w:hAnsi="Times New Roman" w:cs="Times New Roman"/>
          <w:szCs w:val="24"/>
          <w:lang w:eastAsia="zh-CN"/>
        </w:rPr>
        <w:t>fine</w:t>
      </w:r>
      <w:r>
        <w:rPr>
          <w:rFonts w:ascii="Times New Roman" w:hAnsi="Times New Roman" w:cs="Times New Roman"/>
          <w:szCs w:val="24"/>
        </w:rPr>
        <w:t xml:space="preserve"> light</w:t>
      </w:r>
      <w:r>
        <w:rPr>
          <w:rFonts w:ascii="Times New Roman" w:hAnsi="Times New Roman" w:cs="Times New Roman"/>
          <w:szCs w:val="24"/>
          <w:lang w:eastAsia="zh-CN"/>
        </w:rPr>
        <w:t>ing background</w:t>
      </w:r>
      <w:r>
        <w:rPr>
          <w:rFonts w:ascii="Times New Roman" w:hAnsi="Times New Roman" w:cs="Times New Roman"/>
          <w:szCs w:val="24"/>
        </w:rPr>
        <w:t xml:space="preserve"> (the inoculum and McFarland standard must be in the same</w:t>
      </w:r>
      <w:r>
        <w:rPr>
          <w:rFonts w:ascii="Times New Roman" w:hAnsi="Times New Roman" w:cs="Times New Roman"/>
          <w:szCs w:val="24"/>
          <w:lang w:eastAsia="zh-CN"/>
        </w:rPr>
        <w:t>-</w:t>
      </w:r>
      <w:r>
        <w:rPr>
          <w:rFonts w:ascii="Times New Roman" w:hAnsi="Times New Roman" w:cs="Times New Roman"/>
          <w:szCs w:val="24"/>
        </w:rPr>
        <w:t>sized tubes).</w:t>
      </w:r>
    </w:p>
    <w:p w14:paraId="4736499F" w14:textId="77777777" w:rsidR="005E706A" w:rsidRDefault="000E5808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bCs/>
          <w:i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Cs w:val="24"/>
        </w:rPr>
        <w:t>Procedure</w:t>
      </w:r>
    </w:p>
    <w:p w14:paraId="08B328CA" w14:textId="77777777" w:rsidR="005E706A" w:rsidRDefault="000E5808">
      <w:pPr>
        <w:adjustRightInd w:val="0"/>
        <w:snapToGrid w:val="0"/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/>
          <w:szCs w:val="24"/>
        </w:rPr>
        <w:t>Pe</w:t>
      </w:r>
      <w:r>
        <w:rPr>
          <w:rFonts w:ascii="Times New Roman" w:hAnsi="Times New Roman" w:cs="Times New Roman"/>
          <w:szCs w:val="24"/>
        </w:rPr>
        <w:t>tri plates containing 20 mL Muller Hinton agar were seeded with 24 h culture of bacterial/fungal strains. Uniform disk</w:t>
      </w:r>
      <w:r>
        <w:rPr>
          <w:rFonts w:ascii="Times New Roman" w:hAnsi="Times New Roman" w:cs="Times New Roman"/>
          <w:szCs w:val="24"/>
          <w:lang w:eastAsia="zh-CN"/>
        </w:rPr>
        <w:t>s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eastAsia="zh-CN"/>
        </w:rPr>
        <w:t>with the</w:t>
      </w:r>
      <w:r>
        <w:rPr>
          <w:rFonts w:ascii="Times New Roman" w:hAnsi="Times New Roman" w:cs="Times New Roman"/>
          <w:szCs w:val="24"/>
        </w:rPr>
        <w:t xml:space="preserve"> diameter </w:t>
      </w:r>
      <w:r>
        <w:rPr>
          <w:rFonts w:ascii="Times New Roman" w:hAnsi="Times New Roman" w:cs="Times New Roman"/>
          <w:szCs w:val="24"/>
          <w:lang w:eastAsia="zh-CN"/>
        </w:rPr>
        <w:t xml:space="preserve">of </w:t>
      </w:r>
      <w:r>
        <w:rPr>
          <w:rFonts w:ascii="Times New Roman" w:hAnsi="Times New Roman" w:cs="Times New Roman"/>
          <w:szCs w:val="24"/>
        </w:rPr>
        <w:t>5 mm were perforated from the fabricated film and were carefully placed on to the center of the microbial culture i</w:t>
      </w:r>
      <w:r>
        <w:rPr>
          <w:rFonts w:ascii="Times New Roman" w:hAnsi="Times New Roman" w:cs="Times New Roman"/>
          <w:szCs w:val="24"/>
        </w:rPr>
        <w:t>noculated plates. The plates were then incubated at 37° C for 24 h. Then, the anti-microbial activity was assayed by measuring the diameter of the formed inhibition zone around the well.</w:t>
      </w:r>
    </w:p>
    <w:p w14:paraId="5C30808F" w14:textId="77777777" w:rsidR="005E706A" w:rsidRDefault="000E580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S4. Colony count method</w:t>
      </w:r>
    </w:p>
    <w:p w14:paraId="4BC0CA1C" w14:textId="77777777" w:rsidR="005E706A" w:rsidRDefault="000E580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The microbial strains were inoculated in </w:t>
      </w:r>
      <w:proofErr w:type="spellStart"/>
      <w:r>
        <w:rPr>
          <w:rFonts w:ascii="Times New Roman" w:hAnsi="Times New Roman" w:cs="Times New Roman"/>
          <w:szCs w:val="24"/>
        </w:rPr>
        <w:t>lys</w:t>
      </w:r>
      <w:r>
        <w:rPr>
          <w:rFonts w:ascii="Times New Roman" w:hAnsi="Times New Roman" w:cs="Times New Roman"/>
          <w:szCs w:val="24"/>
        </w:rPr>
        <w:t>ogency</w:t>
      </w:r>
      <w:proofErr w:type="spellEnd"/>
      <w:r>
        <w:rPr>
          <w:rFonts w:ascii="Times New Roman" w:hAnsi="Times New Roman" w:cs="Times New Roman"/>
          <w:szCs w:val="24"/>
        </w:rPr>
        <w:t xml:space="preserve"> broth (LB) medi</w:t>
      </w:r>
      <w:r>
        <w:rPr>
          <w:rFonts w:ascii="Times New Roman" w:hAnsi="Times New Roman" w:cs="Times New Roman" w:hint="eastAsia"/>
          <w:szCs w:val="24"/>
          <w:lang w:eastAsia="zh-CN"/>
        </w:rPr>
        <w:t>a</w:t>
      </w:r>
      <w:r>
        <w:rPr>
          <w:rFonts w:ascii="Times New Roman" w:hAnsi="Times New Roman" w:cs="Times New Roman"/>
          <w:szCs w:val="24"/>
        </w:rPr>
        <w:t xml:space="preserve"> and the concentration was adjusted to be 0.5 McFarland standards at 640 nm. The studied membranes were uniformly cut into disk</w:t>
      </w:r>
      <w:r>
        <w:rPr>
          <w:rFonts w:ascii="Times New Roman" w:hAnsi="Times New Roman" w:cs="Times New Roman"/>
          <w:szCs w:val="24"/>
          <w:lang w:eastAsia="zh-CN"/>
        </w:rPr>
        <w:t>s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eastAsia="zh-CN"/>
        </w:rPr>
        <w:t>with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eastAsia="zh-CN"/>
        </w:rPr>
        <w:t xml:space="preserve">a </w:t>
      </w:r>
      <w:r>
        <w:rPr>
          <w:rFonts w:ascii="Times New Roman" w:hAnsi="Times New Roman" w:cs="Times New Roman"/>
          <w:szCs w:val="24"/>
        </w:rPr>
        <w:t xml:space="preserve">diameter </w:t>
      </w:r>
      <w:r>
        <w:rPr>
          <w:rFonts w:ascii="Times New Roman" w:hAnsi="Times New Roman" w:cs="Times New Roman"/>
          <w:szCs w:val="24"/>
          <w:lang w:eastAsia="zh-CN"/>
        </w:rPr>
        <w:t xml:space="preserve">of </w:t>
      </w:r>
      <w:r>
        <w:rPr>
          <w:rFonts w:ascii="Times New Roman" w:hAnsi="Times New Roman" w:cs="Times New Roman"/>
          <w:szCs w:val="24"/>
        </w:rPr>
        <w:t>30 mm and the species culture were inoculated to the films placed in 24 well plates a</w:t>
      </w:r>
      <w:r>
        <w:rPr>
          <w:rFonts w:ascii="Times New Roman" w:hAnsi="Times New Roman" w:cs="Times New Roman"/>
          <w:szCs w:val="24"/>
        </w:rPr>
        <w:t xml:space="preserve">nd incubated at 37º C for 24 h. From the incubated samples, a 100 µL solution was taken and then plated onto the nutrient agar plates. The species culture without incubation </w:t>
      </w:r>
      <w:r>
        <w:rPr>
          <w:rFonts w:ascii="Times New Roman" w:hAnsi="Times New Roman" w:cs="Times New Roman"/>
          <w:szCs w:val="24"/>
          <w:lang w:eastAsia="zh-CN"/>
        </w:rPr>
        <w:t xml:space="preserve">but </w:t>
      </w:r>
      <w:r>
        <w:rPr>
          <w:rFonts w:ascii="Times New Roman" w:hAnsi="Times New Roman" w:cs="Times New Roman"/>
          <w:szCs w:val="24"/>
        </w:rPr>
        <w:t xml:space="preserve">with </w:t>
      </w:r>
      <w:r>
        <w:rPr>
          <w:rFonts w:ascii="Times New Roman" w:hAnsi="Times New Roman" w:cs="Times New Roman"/>
          <w:szCs w:val="24"/>
          <w:lang w:eastAsia="zh-CN"/>
        </w:rPr>
        <w:t xml:space="preserve">the </w:t>
      </w:r>
      <w:r>
        <w:rPr>
          <w:rFonts w:ascii="Times New Roman" w:hAnsi="Times New Roman" w:cs="Times New Roman"/>
          <w:szCs w:val="24"/>
        </w:rPr>
        <w:t>test</w:t>
      </w:r>
      <w:r>
        <w:rPr>
          <w:rFonts w:ascii="Times New Roman" w:hAnsi="Times New Roman" w:cs="Times New Roman"/>
          <w:szCs w:val="24"/>
          <w:lang w:eastAsia="zh-CN"/>
        </w:rPr>
        <w:t>ed</w:t>
      </w:r>
      <w:r>
        <w:rPr>
          <w:rFonts w:ascii="Times New Roman" w:hAnsi="Times New Roman" w:cs="Times New Roman"/>
          <w:szCs w:val="24"/>
        </w:rPr>
        <w:t xml:space="preserve"> membranes under the same conditions was considered as the nega</w:t>
      </w:r>
      <w:r>
        <w:rPr>
          <w:rFonts w:ascii="Times New Roman" w:hAnsi="Times New Roman" w:cs="Times New Roman"/>
          <w:szCs w:val="24"/>
        </w:rPr>
        <w:t>tive control. The anti-microbial efficacy of the neat and surface</w:t>
      </w:r>
      <w:r>
        <w:rPr>
          <w:rFonts w:ascii="Times New Roman" w:hAnsi="Times New Roman" w:cs="Times New Roman"/>
          <w:szCs w:val="24"/>
          <w:lang w:eastAsia="zh-CN"/>
        </w:rPr>
        <w:t>-</w:t>
      </w:r>
      <w:r>
        <w:rPr>
          <w:rFonts w:ascii="Times New Roman" w:hAnsi="Times New Roman" w:cs="Times New Roman"/>
          <w:szCs w:val="24"/>
        </w:rPr>
        <w:t xml:space="preserve">modified PVDF membranes was calculated by the following equations: </w:t>
      </w:r>
    </w:p>
    <w:p w14:paraId="3E167E0C" w14:textId="77777777" w:rsidR="005E706A" w:rsidRDefault="000E580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Colony reduction 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%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Number of colonies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 xml:space="preserve"> Control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Number of colonies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 xml:space="preserve"> Test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Number of colonies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 xml:space="preserve"> Control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 ×100%      4</m:t>
          </m:r>
        </m:oMath>
      </m:oMathPara>
    </w:p>
    <w:p w14:paraId="7FEE5F15" w14:textId="77777777" w:rsidR="005E706A" w:rsidRDefault="000E580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Colony forming unit 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Number of colonies×Dilution factor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Volume of culture</m:t>
            </m:r>
          </m:den>
        </m:f>
        <m:r>
          <w:rPr>
            <w:rFonts w:ascii="Cambria Math" w:hAnsi="Cambria Math" w:cs="Times New Roman"/>
            <w:szCs w:val="24"/>
          </w:rPr>
          <m:t xml:space="preserve"> ×    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CFC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mL</m:t>
                </m:r>
              </m:den>
            </m:f>
          </m:e>
        </m:d>
        <m:r>
          <w:rPr>
            <w:rFonts w:ascii="Cambria Math" w:hAnsi="Cambria Math" w:cs="Times New Roman"/>
            <w:szCs w:val="24"/>
          </w:rPr>
          <m:t xml:space="preserve">                                                     </m:t>
        </m:r>
      </m:oMath>
      <w:r>
        <w:rPr>
          <w:rFonts w:ascii="Times New Roman" w:hAnsi="Times New Roman" w:cs="Times New Roman"/>
          <w:szCs w:val="24"/>
        </w:rPr>
        <w:t>5</w:t>
      </w:r>
    </w:p>
    <w:p w14:paraId="76C2A8D4" w14:textId="77777777" w:rsidR="005E706A" w:rsidRDefault="005E706A">
      <w:pPr>
        <w:adjustRightInd w:val="0"/>
        <w:snapToGrid w:val="0"/>
        <w:spacing w:after="0" w:line="240" w:lineRule="auto"/>
      </w:pPr>
    </w:p>
    <w:p w14:paraId="24D3C521" w14:textId="77777777" w:rsidR="005E706A" w:rsidRDefault="000E5808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object w:dxaOrig="10017" w:dyaOrig="6424" w14:anchorId="08A26E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0.6pt;height:321.3pt" o:ole="">
            <v:imagedata r:id="rId8" o:title=""/>
          </v:shape>
          <o:OLEObject Type="Embed" ProgID="ChemDraw.Document.6.0" ShapeID="_x0000_i1025" DrawAspect="Content" ObjectID="_1696798014" r:id="rId9"/>
        </w:object>
      </w:r>
    </w:p>
    <w:p w14:paraId="6B3E3D0E" w14:textId="77777777" w:rsidR="005E706A" w:rsidRDefault="005E706A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</w:p>
    <w:p w14:paraId="4DB93985" w14:textId="77777777" w:rsidR="005E706A" w:rsidRDefault="005E706A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</w:p>
    <w:p w14:paraId="55E091D6" w14:textId="77777777" w:rsidR="005E706A" w:rsidRDefault="000E5808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Figure S1.</w:t>
      </w:r>
      <w:r>
        <w:rPr>
          <w:rFonts w:ascii="Times New Roman" w:hAnsi="Times New Roman" w:cs="Times New Roman"/>
          <w:szCs w:val="24"/>
        </w:rPr>
        <w:t xml:space="preserve"> The chemical structures of surface modifiers a) Na-SM, b) Zn-SM and c)</w:t>
      </w:r>
      <w:r>
        <w:rPr>
          <w:rFonts w:ascii="Times New Roman" w:hAnsi="Times New Roman" w:cs="Times New Roman"/>
          <w:szCs w:val="24"/>
        </w:rPr>
        <w:t xml:space="preserve"> Ag-SM.</w:t>
      </w:r>
    </w:p>
    <w:p w14:paraId="23479583" w14:textId="77777777" w:rsidR="005E706A" w:rsidRDefault="005E706A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</w:p>
    <w:p w14:paraId="0C3F831B" w14:textId="77777777" w:rsidR="005E706A" w:rsidRDefault="005E706A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</w:p>
    <w:p w14:paraId="7B956557" w14:textId="77777777" w:rsidR="005E706A" w:rsidRDefault="005E706A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</w:p>
    <w:p w14:paraId="2D5DC633" w14:textId="77777777" w:rsidR="005E706A" w:rsidRDefault="000E5808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114935" distR="114935" wp14:anchorId="5A865AAE" wp14:editId="6F51BB36">
            <wp:extent cx="5276850" cy="4131945"/>
            <wp:effectExtent l="0" t="0" r="0" b="1905"/>
            <wp:docPr id="5" name="Picture 5" descr="E:\JACS PAPER\Journal material chemistry A\Figure\Fig. 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:\JACS PAPER\Journal material chemistry A\Figure\Fig. 5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554B" w14:textId="77777777" w:rsidR="005E706A" w:rsidRDefault="000E5808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Figure S2.</w:t>
      </w:r>
      <w:r>
        <w:rPr>
          <w:rFonts w:ascii="Times New Roman" w:hAnsi="Times New Roman" w:cs="Times New Roman"/>
          <w:szCs w:val="24"/>
        </w:rPr>
        <w:t xml:space="preserve"> The NMR spectra of surface modifiers a) Na-SM, b) Zn-SM and c) Ag-SM.</w:t>
      </w:r>
    </w:p>
    <w:p w14:paraId="0C99CBA8" w14:textId="77777777" w:rsidR="005E706A" w:rsidRDefault="005E706A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</w:p>
    <w:p w14:paraId="0326A25C" w14:textId="77777777" w:rsidR="005E706A" w:rsidRDefault="005E706A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</w:p>
    <w:p w14:paraId="7C2F567B" w14:textId="77777777" w:rsidR="005E706A" w:rsidRDefault="000E5808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eastAsia="BJPKP A+ MTSY" w:hAnsi="Times New Roman" w:cs="Times New Roman"/>
          <w:b/>
          <w:noProof/>
          <w:szCs w:val="24"/>
        </w:rPr>
        <w:drawing>
          <wp:inline distT="0" distB="0" distL="114935" distR="114935" wp14:anchorId="2D87FAC2" wp14:editId="54ABACEE">
            <wp:extent cx="3009900" cy="3190875"/>
            <wp:effectExtent l="0" t="0" r="0" b="9525"/>
            <wp:docPr id="1026" name="Picture 2" descr="C:\Users\Acer\Desktop\fti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Acer\Desktop\ftir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15B7F1" w14:textId="77777777" w:rsidR="005E706A" w:rsidRDefault="000E580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Figure S3.</w:t>
      </w:r>
      <w:r>
        <w:rPr>
          <w:rFonts w:ascii="Times New Roman" w:hAnsi="Times New Roman" w:cs="Times New Roman"/>
          <w:szCs w:val="24"/>
        </w:rPr>
        <w:t xml:space="preserve"> ATR-FTIR spectra of neat and surface modified PVDF membranes after the water filtration test. </w:t>
      </w:r>
    </w:p>
    <w:p w14:paraId="3F3E661A" w14:textId="77777777" w:rsidR="005E706A" w:rsidRDefault="005E706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57DFCD35" w14:textId="77777777" w:rsidR="005E706A" w:rsidRDefault="000E5808">
      <w:pPr>
        <w:adjustRightInd w:val="0"/>
        <w:snapToGrid w:val="0"/>
        <w:spacing w:after="0" w:line="240" w:lineRule="auto"/>
        <w:jc w:val="both"/>
        <w:rPr>
          <w:rFonts w:ascii="Times New Roman" w:eastAsia="BJPKP A+ MTSY" w:hAnsi="Times New Roman" w:cs="Times New Roman"/>
          <w:b/>
          <w:szCs w:val="24"/>
        </w:rPr>
      </w:pPr>
      <w:r>
        <w:rPr>
          <w:rFonts w:ascii="Times New Roman" w:eastAsia="BJPKP A+ MTSY" w:hAnsi="Times New Roman" w:cs="Times New Roman"/>
          <w:b/>
          <w:szCs w:val="24"/>
        </w:rPr>
        <w:t>References</w:t>
      </w:r>
    </w:p>
    <w:p w14:paraId="3FD05B52" w14:textId="77777777" w:rsidR="005E706A" w:rsidRDefault="000E5808">
      <w:pPr>
        <w:pStyle w:val="aa"/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0070C0"/>
          <w:szCs w:val="24"/>
        </w:rPr>
        <w:t>Kanagaraj</w:t>
      </w:r>
      <w:proofErr w:type="spellEnd"/>
      <w:r>
        <w:rPr>
          <w:rFonts w:ascii="Times New Roman" w:hAnsi="Times New Roman" w:cs="Times New Roman"/>
          <w:color w:val="0070C0"/>
          <w:szCs w:val="24"/>
        </w:rPr>
        <w:t xml:space="preserve">, S. Neelakandan, A. </w:t>
      </w:r>
      <w:proofErr w:type="spellStart"/>
      <w:r>
        <w:rPr>
          <w:rFonts w:ascii="Times New Roman" w:hAnsi="Times New Roman" w:cs="Times New Roman"/>
          <w:color w:val="0070C0"/>
          <w:szCs w:val="24"/>
        </w:rPr>
        <w:t>Nagendran</w:t>
      </w:r>
      <w:proofErr w:type="spellEnd"/>
      <w:r>
        <w:rPr>
          <w:rFonts w:ascii="Times New Roman" w:hAnsi="Times New Roman" w:cs="Times New Roman"/>
          <w:color w:val="0070C0"/>
          <w:szCs w:val="24"/>
        </w:rPr>
        <w:t xml:space="preserve">, D. Rana, T. Matsuura, M. Shalini, </w:t>
      </w:r>
      <w:hyperlink r:id="rId12" w:history="1">
        <w:r>
          <w:rPr>
            <w:rStyle w:val="a9"/>
            <w:rFonts w:ascii="Times New Roman" w:hAnsi="Times New Roman" w:cs="Times New Roman"/>
            <w:color w:val="0070C0"/>
            <w:szCs w:val="24"/>
            <w:u w:val="none"/>
          </w:rPr>
          <w:t xml:space="preserve">Removal of BSA and HA contaminants from aqueous solution using amphiphilic tri-block copolymer modified </w:t>
        </w:r>
        <w:r>
          <w:rPr>
            <w:rStyle w:val="a9"/>
            <w:rFonts w:ascii="Times New Roman" w:hAnsi="Times New Roman" w:cs="Times New Roman"/>
            <w:color w:val="0070C0"/>
            <w:szCs w:val="24"/>
            <w:u w:val="none"/>
          </w:rPr>
          <w:lastRenderedPageBreak/>
          <w:t>polyetherim</w:t>
        </w:r>
        <w:r>
          <w:rPr>
            <w:rStyle w:val="a9"/>
            <w:rFonts w:ascii="Times New Roman" w:hAnsi="Times New Roman" w:cs="Times New Roman"/>
            <w:color w:val="0070C0"/>
            <w:szCs w:val="24"/>
            <w:u w:val="none"/>
          </w:rPr>
          <w:t>ide UF membrane and their fouling behaviors</w:t>
        </w:r>
      </w:hyperlink>
      <w:r>
        <w:rPr>
          <w:rStyle w:val="a9"/>
          <w:rFonts w:ascii="Times New Roman" w:hAnsi="Times New Roman" w:cs="Times New Roman"/>
          <w:color w:val="0070C0"/>
          <w:szCs w:val="24"/>
          <w:u w:val="none"/>
        </w:rPr>
        <w:t>,</w:t>
      </w:r>
      <w:r>
        <w:rPr>
          <w:rFonts w:ascii="Times New Roman" w:hAnsi="Times New Roman" w:cs="Times New Roman"/>
          <w:color w:val="0070C0"/>
          <w:szCs w:val="24"/>
        </w:rPr>
        <w:t xml:space="preserve"> </w:t>
      </w:r>
      <w:r>
        <w:rPr>
          <w:rFonts w:ascii="Times New Roman" w:hAnsi="Times New Roman" w:cs="Times New Roman"/>
          <w:iCs/>
          <w:color w:val="0070C0"/>
          <w:szCs w:val="24"/>
        </w:rPr>
        <w:t>Ind. Eng. Chem. Res.</w:t>
      </w:r>
      <w:r>
        <w:rPr>
          <w:rFonts w:ascii="Times New Roman" w:hAnsi="Times New Roman" w:cs="Times New Roman"/>
          <w:color w:val="0070C0"/>
          <w:szCs w:val="24"/>
        </w:rPr>
        <w:t xml:space="preserve"> 54 (2015) 11628–11634.</w:t>
      </w:r>
    </w:p>
    <w:p w14:paraId="374C364D" w14:textId="77777777" w:rsidR="005E706A" w:rsidRDefault="000E5808">
      <w:pPr>
        <w:pStyle w:val="aa"/>
        <w:numPr>
          <w:ilvl w:val="0"/>
          <w:numId w:val="1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Cs/>
          <w:color w:val="0070C0"/>
          <w:szCs w:val="24"/>
        </w:rPr>
        <w:t xml:space="preserve">J. </w:t>
      </w:r>
      <w:proofErr w:type="spellStart"/>
      <w:r>
        <w:rPr>
          <w:rFonts w:ascii="Times New Roman" w:hAnsi="Times New Roman" w:cs="Times New Roman"/>
          <w:bCs/>
          <w:color w:val="0070C0"/>
          <w:szCs w:val="24"/>
        </w:rPr>
        <w:t>Rezania</w:t>
      </w:r>
      <w:proofErr w:type="spellEnd"/>
      <w:r>
        <w:rPr>
          <w:rFonts w:ascii="Times New Roman" w:hAnsi="Times New Roman" w:cs="Times New Roman"/>
          <w:bCs/>
          <w:color w:val="0070C0"/>
          <w:szCs w:val="24"/>
        </w:rPr>
        <w:t xml:space="preserve">, A. </w:t>
      </w:r>
      <w:proofErr w:type="spellStart"/>
      <w:r>
        <w:rPr>
          <w:rFonts w:ascii="Times New Roman" w:hAnsi="Times New Roman" w:cs="Times New Roman"/>
          <w:bCs/>
          <w:color w:val="0070C0"/>
          <w:szCs w:val="24"/>
        </w:rPr>
        <w:t>Shockravi</w:t>
      </w:r>
      <w:proofErr w:type="spellEnd"/>
      <w:r>
        <w:rPr>
          <w:rFonts w:ascii="Times New Roman" w:hAnsi="Times New Roman" w:cs="Times New Roman"/>
          <w:bCs/>
          <w:color w:val="0070C0"/>
          <w:szCs w:val="24"/>
        </w:rPr>
        <w:t xml:space="preserve">, V. </w:t>
      </w:r>
      <w:proofErr w:type="spellStart"/>
      <w:r>
        <w:rPr>
          <w:rFonts w:ascii="Times New Roman" w:hAnsi="Times New Roman" w:cs="Times New Roman"/>
          <w:bCs/>
          <w:color w:val="0070C0"/>
          <w:szCs w:val="24"/>
        </w:rPr>
        <w:t>Vatanpour</w:t>
      </w:r>
      <w:proofErr w:type="spellEnd"/>
      <w:r>
        <w:rPr>
          <w:rFonts w:ascii="Times New Roman" w:hAnsi="Times New Roman" w:cs="Times New Roman"/>
          <w:bCs/>
          <w:color w:val="0070C0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bCs/>
          <w:color w:val="0070C0"/>
          <w:szCs w:val="24"/>
        </w:rPr>
        <w:t>Ehsani</w:t>
      </w:r>
      <w:proofErr w:type="spellEnd"/>
      <w:r>
        <w:rPr>
          <w:rFonts w:ascii="Times New Roman" w:hAnsi="Times New Roman" w:cs="Times New Roman"/>
          <w:bCs/>
          <w:color w:val="0070C0"/>
          <w:szCs w:val="24"/>
        </w:rPr>
        <w:t>, Preparation and performance evaluation of carboxylic acid containing polyamide incorporated microporous ultrafilt</w:t>
      </w:r>
      <w:r>
        <w:rPr>
          <w:rFonts w:ascii="Times New Roman" w:hAnsi="Times New Roman" w:cs="Times New Roman"/>
          <w:bCs/>
          <w:color w:val="0070C0"/>
          <w:szCs w:val="24"/>
        </w:rPr>
        <w:t xml:space="preserve">ration PES membranes, </w:t>
      </w:r>
      <w:proofErr w:type="spellStart"/>
      <w:r>
        <w:rPr>
          <w:rFonts w:ascii="Times New Roman" w:hAnsi="Times New Roman" w:cs="Times New Roman"/>
          <w:iCs/>
          <w:color w:val="0070C0"/>
          <w:szCs w:val="24"/>
        </w:rPr>
        <w:t>Polym</w:t>
      </w:r>
      <w:proofErr w:type="spellEnd"/>
      <w:r>
        <w:rPr>
          <w:rFonts w:ascii="Times New Roman" w:hAnsi="Times New Roman" w:cs="Times New Roman"/>
          <w:iCs/>
          <w:color w:val="0070C0"/>
          <w:szCs w:val="24"/>
        </w:rPr>
        <w:t>. Adv. Technol</w:t>
      </w:r>
      <w:r>
        <w:rPr>
          <w:rFonts w:ascii="Times New Roman" w:hAnsi="Times New Roman" w:cs="Times New Roman"/>
          <w:color w:val="0070C0"/>
          <w:szCs w:val="24"/>
        </w:rPr>
        <w:t>. 30 (2018) 407–416.</w:t>
      </w:r>
    </w:p>
    <w:p w14:paraId="01CBF5D4" w14:textId="77777777" w:rsidR="005E706A" w:rsidRDefault="000E5808">
      <w:pPr>
        <w:pStyle w:val="aa"/>
        <w:numPr>
          <w:ilvl w:val="0"/>
          <w:numId w:val="1"/>
        </w:numPr>
        <w:adjustRightInd w:val="0"/>
        <w:snapToGrid w:val="0"/>
        <w:spacing w:after="0" w:line="240" w:lineRule="auto"/>
        <w:jc w:val="both"/>
      </w:pPr>
      <w:r>
        <w:rPr>
          <w:rFonts w:ascii="Times New Roman" w:eastAsia="TimesNewRomanPSMT" w:hAnsi="Times New Roman" w:cs="Times New Roman"/>
          <w:color w:val="0070C0"/>
          <w:szCs w:val="24"/>
        </w:rPr>
        <w:t xml:space="preserve">S. J. Kazmi, M. Shehzad, S. Mehmood, M. Yasar, A. Naeem, A. Bhatti, </w:t>
      </w:r>
      <w:r>
        <w:rPr>
          <w:rFonts w:ascii="Times New Roman" w:hAnsi="Times New Roman" w:cs="Times New Roman"/>
          <w:color w:val="0070C0"/>
          <w:szCs w:val="24"/>
        </w:rPr>
        <w:t xml:space="preserve">Effect of varied Ag nanoparticles functionalized CNTs on its anti-bacterial activity against E. </w:t>
      </w:r>
      <w:proofErr w:type="gramStart"/>
      <w:r>
        <w:rPr>
          <w:rFonts w:ascii="Times New Roman" w:hAnsi="Times New Roman" w:cs="Times New Roman"/>
          <w:color w:val="0070C0"/>
          <w:szCs w:val="24"/>
        </w:rPr>
        <w:t>coli,</w:t>
      </w:r>
      <w:r>
        <w:rPr>
          <w:rFonts w:ascii="Times New Roman" w:eastAsia="TimesNewRomanPSMT" w:hAnsi="Times New Roman" w:cs="Times New Roman"/>
          <w:iCs/>
          <w:color w:val="0070C0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0070C0"/>
          <w:szCs w:val="24"/>
        </w:rPr>
        <w:t xml:space="preserve"> </w:t>
      </w:r>
      <w:r>
        <w:rPr>
          <w:rFonts w:ascii="Times New Roman" w:eastAsia="TimesNewRomanPSMT" w:hAnsi="Times New Roman" w:cs="Times New Roman"/>
          <w:iCs/>
          <w:color w:val="0070C0"/>
          <w:szCs w:val="24"/>
        </w:rPr>
        <w:t>Sens.</w:t>
      </w:r>
      <w:proofErr w:type="gramEnd"/>
      <w:r>
        <w:rPr>
          <w:rFonts w:ascii="Times New Roman" w:hAnsi="Times New Roman" w:cs="Times New Roman"/>
          <w:color w:val="0070C0"/>
          <w:szCs w:val="24"/>
        </w:rPr>
        <w:t xml:space="preserve"> </w:t>
      </w:r>
      <w:r>
        <w:rPr>
          <w:rFonts w:ascii="Times New Roman" w:eastAsia="TimesNewRomanPSMT" w:hAnsi="Times New Roman" w:cs="Times New Roman"/>
          <w:iCs/>
          <w:color w:val="0070C0"/>
          <w:szCs w:val="24"/>
        </w:rPr>
        <w:t xml:space="preserve">Actuators A. </w:t>
      </w:r>
      <w:r>
        <w:rPr>
          <w:rFonts w:ascii="Times New Roman" w:eastAsia="TimesNewRomanPSMT" w:hAnsi="Times New Roman" w:cs="Times New Roman"/>
          <w:color w:val="0070C0"/>
          <w:szCs w:val="24"/>
        </w:rPr>
        <w:t>216</w:t>
      </w:r>
      <w:r>
        <w:rPr>
          <w:rFonts w:ascii="Times New Roman" w:eastAsia="TimesNewRomanPSMT" w:hAnsi="Times New Roman" w:cs="Times New Roman"/>
          <w:iCs/>
          <w:color w:val="0070C0"/>
          <w:szCs w:val="24"/>
        </w:rPr>
        <w:t xml:space="preserve"> </w:t>
      </w:r>
      <w:r>
        <w:rPr>
          <w:rFonts w:ascii="Times New Roman" w:eastAsia="TimesNewRomanPSMT" w:hAnsi="Times New Roman" w:cs="Times New Roman"/>
          <w:iCs/>
          <w:color w:val="0070C0"/>
          <w:szCs w:val="24"/>
        </w:rPr>
        <w:t>(</w:t>
      </w:r>
      <w:r>
        <w:rPr>
          <w:rFonts w:ascii="Times New Roman" w:eastAsia="TimesNewRomanPSMT" w:hAnsi="Times New Roman" w:cs="Times New Roman"/>
          <w:color w:val="0070C0"/>
          <w:szCs w:val="24"/>
        </w:rPr>
        <w:t>2014) 287–294.</w:t>
      </w:r>
    </w:p>
    <w:sectPr w:rsidR="005E706A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BA6ED" w14:textId="77777777" w:rsidR="000E5808" w:rsidRDefault="000E5808">
      <w:pPr>
        <w:spacing w:line="240" w:lineRule="auto"/>
      </w:pPr>
      <w:r>
        <w:separator/>
      </w:r>
    </w:p>
  </w:endnote>
  <w:endnote w:type="continuationSeparator" w:id="0">
    <w:p w14:paraId="12E46A64" w14:textId="77777777" w:rsidR="000E5808" w:rsidRDefault="000E5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JPKP A+ MTSY">
    <w:altName w:val="MS Gothic"/>
    <w:charset w:val="80"/>
    <w:family w:val="swiss"/>
    <w:pitch w:val="default"/>
    <w:sig w:usb0="00000000" w:usb1="00000000" w:usb2="00000010" w:usb3="00000000" w:csb0="00020001" w:csb1="00000000"/>
  </w:font>
  <w:font w:name="TimesNewRomanPSMT">
    <w:altName w:val="MS Mincho"/>
    <w:charset w:val="80"/>
    <w:family w:val="auto"/>
    <w:pitch w:val="default"/>
    <w:sig w:usb0="00000000" w:usb1="0000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7867023"/>
      <w:docPartObj>
        <w:docPartGallery w:val="AutoText"/>
      </w:docPartObj>
    </w:sdtPr>
    <w:sdtEndPr/>
    <w:sdtContent>
      <w:p w14:paraId="73040BEE" w14:textId="77777777" w:rsidR="005E706A" w:rsidRDefault="000E580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7D4A93C8" w14:textId="77777777" w:rsidR="005E706A" w:rsidRDefault="005E70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2D33A" w14:textId="77777777" w:rsidR="000E5808" w:rsidRDefault="000E5808">
      <w:pPr>
        <w:spacing w:after="0"/>
      </w:pPr>
      <w:r>
        <w:separator/>
      </w:r>
    </w:p>
  </w:footnote>
  <w:footnote w:type="continuationSeparator" w:id="0">
    <w:p w14:paraId="5273686A" w14:textId="77777777" w:rsidR="000E5808" w:rsidRDefault="000E58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341A0"/>
    <w:multiLevelType w:val="multilevel"/>
    <w:tmpl w:val="27A341A0"/>
    <w:lvl w:ilvl="0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88"/>
    <w:rsid w:val="00021276"/>
    <w:rsid w:val="000728AD"/>
    <w:rsid w:val="000E5808"/>
    <w:rsid w:val="00141D28"/>
    <w:rsid w:val="00177879"/>
    <w:rsid w:val="00192E7E"/>
    <w:rsid w:val="001A33F9"/>
    <w:rsid w:val="001C4914"/>
    <w:rsid w:val="001F627E"/>
    <w:rsid w:val="00283310"/>
    <w:rsid w:val="002B634D"/>
    <w:rsid w:val="002C6EB4"/>
    <w:rsid w:val="0030067C"/>
    <w:rsid w:val="00322100"/>
    <w:rsid w:val="003344B8"/>
    <w:rsid w:val="00334F50"/>
    <w:rsid w:val="003752EF"/>
    <w:rsid w:val="00414B04"/>
    <w:rsid w:val="00431D72"/>
    <w:rsid w:val="004640AA"/>
    <w:rsid w:val="004E5D0F"/>
    <w:rsid w:val="0055662A"/>
    <w:rsid w:val="005A54FC"/>
    <w:rsid w:val="005D1FBA"/>
    <w:rsid w:val="005E706A"/>
    <w:rsid w:val="00610763"/>
    <w:rsid w:val="00633E9F"/>
    <w:rsid w:val="00637878"/>
    <w:rsid w:val="0066057F"/>
    <w:rsid w:val="0066646E"/>
    <w:rsid w:val="006718CF"/>
    <w:rsid w:val="00673441"/>
    <w:rsid w:val="006834F6"/>
    <w:rsid w:val="00767EA8"/>
    <w:rsid w:val="007709AD"/>
    <w:rsid w:val="007B16F8"/>
    <w:rsid w:val="008033FC"/>
    <w:rsid w:val="00824DAC"/>
    <w:rsid w:val="00827E6E"/>
    <w:rsid w:val="008F05DB"/>
    <w:rsid w:val="008F2656"/>
    <w:rsid w:val="008F3D33"/>
    <w:rsid w:val="00946FCF"/>
    <w:rsid w:val="009A3A86"/>
    <w:rsid w:val="009A74FB"/>
    <w:rsid w:val="009D0299"/>
    <w:rsid w:val="009F1E62"/>
    <w:rsid w:val="00A159B2"/>
    <w:rsid w:val="00A71CAE"/>
    <w:rsid w:val="00A74C48"/>
    <w:rsid w:val="00AC4501"/>
    <w:rsid w:val="00B217BA"/>
    <w:rsid w:val="00B941CC"/>
    <w:rsid w:val="00BA09A3"/>
    <w:rsid w:val="00BA5563"/>
    <w:rsid w:val="00BE442B"/>
    <w:rsid w:val="00BF2332"/>
    <w:rsid w:val="00C27F3A"/>
    <w:rsid w:val="00C421E1"/>
    <w:rsid w:val="00C42AD9"/>
    <w:rsid w:val="00C73DE6"/>
    <w:rsid w:val="00CB510C"/>
    <w:rsid w:val="00CC0788"/>
    <w:rsid w:val="00D41C7E"/>
    <w:rsid w:val="00D53D30"/>
    <w:rsid w:val="00D96C6E"/>
    <w:rsid w:val="00DA7534"/>
    <w:rsid w:val="00DE3E38"/>
    <w:rsid w:val="00E06B22"/>
    <w:rsid w:val="00E31A3E"/>
    <w:rsid w:val="00E47E14"/>
    <w:rsid w:val="00E73E48"/>
    <w:rsid w:val="00E807C5"/>
    <w:rsid w:val="00EC0726"/>
    <w:rsid w:val="00EC13E4"/>
    <w:rsid w:val="00EC2DB2"/>
    <w:rsid w:val="00ED15A9"/>
    <w:rsid w:val="00F32449"/>
    <w:rsid w:val="00F72D63"/>
    <w:rsid w:val="00F74AB0"/>
    <w:rsid w:val="00FE28F7"/>
    <w:rsid w:val="00FF1324"/>
    <w:rsid w:val="53E9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4AFC"/>
  <w15:docId w15:val="{90D71860-0E74-4556-827E-2749297F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a0"/>
  </w:style>
  <w:style w:type="character" w:customStyle="1" w:styleId="a8">
    <w:name w:val="页眉 字符"/>
    <w:basedOn w:val="a0"/>
    <w:link w:val="a7"/>
    <w:uiPriority w:val="99"/>
    <w:rPr>
      <w:rFonts w:eastAsiaTheme="minorEastAsia"/>
    </w:rPr>
  </w:style>
  <w:style w:type="character" w:customStyle="1" w:styleId="a6">
    <w:name w:val="页脚 字符"/>
    <w:basedOn w:val="a0"/>
    <w:link w:val="a5"/>
    <w:uiPriority w:val="9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ubs.acs.org/doi/abs/10.1021/acs.iecr.5b032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tif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杨 振浩</cp:lastModifiedBy>
  <cp:revision>2</cp:revision>
  <dcterms:created xsi:type="dcterms:W3CDTF">2021-10-26T16:00:00Z</dcterms:created>
  <dcterms:modified xsi:type="dcterms:W3CDTF">2021-10-26T16:00:00Z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CA91F9BE095E47D194286F0996580344</vt:lpwstr>
  </property>
</Properties>
</file>