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7.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8.xml" ContentType="application/vnd.openxmlformats-officedocument.wordprocessingml.footer+xml"/>
  <Override PartName="/word/header1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7ACED" w14:textId="77777777" w:rsidR="00793432" w:rsidRDefault="00793432">
      <w:pPr>
        <w:spacing w:line="400" w:lineRule="atLeast"/>
        <w:ind w:firstLineChars="0" w:firstLine="0"/>
      </w:pPr>
    </w:p>
    <w:p w14:paraId="31C1C66B" w14:textId="77777777" w:rsidR="00793432" w:rsidRDefault="00000000">
      <w:pPr>
        <w:spacing w:line="400" w:lineRule="atLeast"/>
        <w:ind w:firstLineChars="0" w:firstLine="0"/>
        <w:rPr>
          <w:rFonts w:ascii="楷体" w:eastAsia="楷体" w:hAnsi="楷体"/>
          <w:sz w:val="52"/>
          <w:szCs w:val="52"/>
        </w:rPr>
      </w:pPr>
      <w:r>
        <w:rPr>
          <w:rFonts w:ascii="楷体" w:eastAsia="楷体" w:hAnsi="楷体"/>
          <w:noProof/>
          <w:sz w:val="52"/>
          <w:szCs w:val="52"/>
        </w:rPr>
        <w:drawing>
          <wp:anchor distT="0" distB="0" distL="0" distR="0" simplePos="0" relativeHeight="251662336" behindDoc="0" locked="0" layoutInCell="1" allowOverlap="1" wp14:anchorId="112A5666" wp14:editId="20414DDD">
            <wp:simplePos x="0" y="0"/>
            <wp:positionH relativeFrom="margin">
              <wp:align>center</wp:align>
            </wp:positionH>
            <wp:positionV relativeFrom="paragraph">
              <wp:posOffset>80645</wp:posOffset>
            </wp:positionV>
            <wp:extent cx="5401310" cy="1621790"/>
            <wp:effectExtent l="0" t="0" r="889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401310" cy="1621790"/>
                    </a:xfrm>
                    <a:prstGeom prst="rect">
                      <a:avLst/>
                    </a:prstGeom>
                    <a:noFill/>
                  </pic:spPr>
                </pic:pic>
              </a:graphicData>
            </a:graphic>
          </wp:anchor>
        </w:drawing>
      </w:r>
    </w:p>
    <w:p w14:paraId="71E5CF8C" w14:textId="77777777" w:rsidR="00793432" w:rsidRDefault="00000000">
      <w:pPr>
        <w:spacing w:line="560" w:lineRule="exact"/>
        <w:ind w:firstLine="1040"/>
        <w:jc w:val="center"/>
        <w:rPr>
          <w:rFonts w:ascii="楷体" w:eastAsia="楷体" w:hAnsi="楷体"/>
          <w:sz w:val="52"/>
          <w:szCs w:val="52"/>
        </w:rPr>
      </w:pPr>
      <w:r>
        <w:rPr>
          <w:rFonts w:ascii="楷体" w:eastAsia="楷体" w:hAnsi="楷体" w:hint="eastAsia"/>
          <w:sz w:val="52"/>
          <w:szCs w:val="52"/>
        </w:rPr>
        <w:t>本科毕业论文</w:t>
      </w:r>
    </w:p>
    <w:p w14:paraId="185819CC" w14:textId="77777777" w:rsidR="00793432" w:rsidRDefault="00793432">
      <w:pPr>
        <w:spacing w:line="400" w:lineRule="atLeast"/>
        <w:ind w:firstLineChars="0" w:firstLine="0"/>
        <w:rPr>
          <w:rFonts w:ascii="楷体" w:eastAsia="楷体" w:hAnsi="楷体"/>
          <w:sz w:val="52"/>
          <w:szCs w:val="52"/>
        </w:rPr>
      </w:pPr>
    </w:p>
    <w:p w14:paraId="06E26095" w14:textId="77777777" w:rsidR="00793432" w:rsidRDefault="00000000">
      <w:pPr>
        <w:spacing w:line="600" w:lineRule="exact"/>
        <w:ind w:firstLine="723"/>
        <w:jc w:val="center"/>
        <w:rPr>
          <w:rFonts w:eastAsia="黑体"/>
          <w:b/>
          <w:sz w:val="36"/>
          <w:szCs w:val="36"/>
        </w:rPr>
      </w:pPr>
      <w:r>
        <w:rPr>
          <w:rFonts w:eastAsia="黑体" w:hint="eastAsia"/>
          <w:b/>
          <w:sz w:val="36"/>
          <w:szCs w:val="36"/>
        </w:rPr>
        <w:t>机器学习驱动的酚类污染物自由基反应活性预测与关键位点识别</w:t>
      </w:r>
    </w:p>
    <w:p w14:paraId="359FF3D2" w14:textId="77777777" w:rsidR="00793432" w:rsidRDefault="00000000">
      <w:pPr>
        <w:spacing w:line="400" w:lineRule="exact"/>
        <w:ind w:firstLine="643"/>
        <w:jc w:val="center"/>
        <w:rPr>
          <w:rFonts w:eastAsia="黑体"/>
          <w:b/>
          <w:sz w:val="32"/>
          <w:szCs w:val="32"/>
        </w:rPr>
      </w:pPr>
      <w:r>
        <w:rPr>
          <w:rFonts w:eastAsia="黑体"/>
          <w:b/>
          <w:sz w:val="32"/>
          <w:szCs w:val="32"/>
        </w:rPr>
        <w:t>Machine Learning-Driven Prediction of Radical Reaction Activity and Key Site Identification for Phenolic Pollutants</w:t>
      </w:r>
    </w:p>
    <w:p w14:paraId="545981E6" w14:textId="77777777" w:rsidR="00793432" w:rsidRDefault="00793432">
      <w:pPr>
        <w:spacing w:line="400" w:lineRule="atLeast"/>
        <w:ind w:firstLine="643"/>
        <w:jc w:val="center"/>
        <w:rPr>
          <w:rFonts w:ascii="宋体" w:hAnsi="宋体" w:cs="宋体"/>
          <w:b/>
          <w:sz w:val="32"/>
          <w:szCs w:val="32"/>
        </w:rPr>
      </w:pP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8"/>
        <w:gridCol w:w="4876"/>
      </w:tblGrid>
      <w:tr w:rsidR="00793432" w14:paraId="3F58E263" w14:textId="77777777">
        <w:trPr>
          <w:jc w:val="center"/>
        </w:trPr>
        <w:tc>
          <w:tcPr>
            <w:tcW w:w="1928" w:type="dxa"/>
            <w:vAlign w:val="center"/>
          </w:tcPr>
          <w:p w14:paraId="08D940C1" w14:textId="77777777" w:rsidR="00793432" w:rsidRDefault="00000000">
            <w:pPr>
              <w:spacing w:line="240" w:lineRule="auto"/>
              <w:ind w:firstLineChars="0" w:firstLine="0"/>
              <w:jc w:val="center"/>
              <w:rPr>
                <w:rFonts w:ascii="宋体" w:hAnsi="宋体"/>
                <w:kern w:val="0"/>
                <w:position w:val="-52"/>
                <w:sz w:val="32"/>
                <w:szCs w:val="32"/>
              </w:rPr>
            </w:pPr>
            <w:r>
              <w:rPr>
                <w:rFonts w:ascii="宋体" w:hAnsi="宋体" w:hint="eastAsia"/>
                <w:kern w:val="0"/>
                <w:position w:val="-52"/>
                <w:sz w:val="32"/>
                <w:szCs w:val="32"/>
              </w:rPr>
              <w:t>学院：</w:t>
            </w:r>
          </w:p>
        </w:tc>
        <w:tc>
          <w:tcPr>
            <w:tcW w:w="4876" w:type="dxa"/>
            <w:tcBorders>
              <w:bottom w:val="single" w:sz="4" w:space="0" w:color="auto"/>
            </w:tcBorders>
            <w:vAlign w:val="center"/>
          </w:tcPr>
          <w:p w14:paraId="1195EAAE" w14:textId="77777777" w:rsidR="00793432" w:rsidRDefault="00000000">
            <w:pPr>
              <w:spacing w:line="240" w:lineRule="auto"/>
              <w:ind w:firstLineChars="0" w:firstLine="0"/>
              <w:jc w:val="center"/>
              <w:rPr>
                <w:rFonts w:ascii="宋体" w:hAnsi="宋体"/>
                <w:kern w:val="0"/>
                <w:position w:val="-52"/>
                <w:sz w:val="32"/>
                <w:szCs w:val="32"/>
              </w:rPr>
            </w:pPr>
            <w:r>
              <w:rPr>
                <w:rFonts w:ascii="宋体" w:hAnsi="宋体" w:hint="eastAsia"/>
                <w:kern w:val="0"/>
                <w:position w:val="-52"/>
                <w:sz w:val="32"/>
                <w:szCs w:val="32"/>
              </w:rPr>
              <w:t>安全与环境工程学院</w:t>
            </w:r>
          </w:p>
        </w:tc>
      </w:tr>
      <w:tr w:rsidR="00793432" w14:paraId="04021C97" w14:textId="77777777">
        <w:trPr>
          <w:jc w:val="center"/>
        </w:trPr>
        <w:tc>
          <w:tcPr>
            <w:tcW w:w="1928" w:type="dxa"/>
            <w:vAlign w:val="center"/>
          </w:tcPr>
          <w:p w14:paraId="4FF1CD40" w14:textId="77777777" w:rsidR="00793432" w:rsidRDefault="00000000">
            <w:pPr>
              <w:spacing w:line="240" w:lineRule="auto"/>
              <w:ind w:firstLineChars="0" w:firstLine="0"/>
              <w:jc w:val="center"/>
              <w:rPr>
                <w:rFonts w:ascii="宋体" w:hAnsi="宋体"/>
                <w:kern w:val="0"/>
                <w:position w:val="-52"/>
                <w:sz w:val="32"/>
                <w:szCs w:val="32"/>
              </w:rPr>
            </w:pPr>
            <w:r>
              <w:rPr>
                <w:rFonts w:ascii="宋体" w:hAnsi="宋体" w:hint="eastAsia"/>
                <w:kern w:val="0"/>
                <w:position w:val="-52"/>
                <w:sz w:val="32"/>
                <w:szCs w:val="32"/>
              </w:rPr>
              <w:t>专业班级：</w:t>
            </w:r>
          </w:p>
        </w:tc>
        <w:tc>
          <w:tcPr>
            <w:tcW w:w="4876" w:type="dxa"/>
            <w:tcBorders>
              <w:top w:val="single" w:sz="4" w:space="0" w:color="auto"/>
              <w:bottom w:val="single" w:sz="4" w:space="0" w:color="auto"/>
            </w:tcBorders>
            <w:vAlign w:val="center"/>
          </w:tcPr>
          <w:p w14:paraId="0A5BEF90" w14:textId="77777777" w:rsidR="00793432" w:rsidRDefault="00000000">
            <w:pPr>
              <w:spacing w:line="240" w:lineRule="auto"/>
              <w:ind w:firstLineChars="0" w:firstLine="0"/>
              <w:jc w:val="center"/>
              <w:rPr>
                <w:rFonts w:ascii="宋体" w:hAnsi="宋体"/>
                <w:kern w:val="0"/>
                <w:position w:val="-52"/>
                <w:sz w:val="32"/>
                <w:szCs w:val="32"/>
              </w:rPr>
            </w:pPr>
            <w:r>
              <w:rPr>
                <w:rFonts w:ascii="宋体" w:hAnsi="宋体" w:hint="eastAsia"/>
                <w:kern w:val="0"/>
                <w:position w:val="-52"/>
                <w:sz w:val="32"/>
                <w:szCs w:val="32"/>
              </w:rPr>
              <w:t>环境工程22-3班</w:t>
            </w:r>
          </w:p>
        </w:tc>
      </w:tr>
      <w:tr w:rsidR="00793432" w14:paraId="6ACB1669" w14:textId="77777777">
        <w:trPr>
          <w:jc w:val="center"/>
        </w:trPr>
        <w:tc>
          <w:tcPr>
            <w:tcW w:w="1928" w:type="dxa"/>
            <w:vAlign w:val="center"/>
          </w:tcPr>
          <w:p w14:paraId="600F85F3" w14:textId="77777777" w:rsidR="00793432" w:rsidRDefault="00000000">
            <w:pPr>
              <w:spacing w:line="240" w:lineRule="auto"/>
              <w:ind w:firstLineChars="0" w:firstLine="0"/>
              <w:jc w:val="center"/>
              <w:rPr>
                <w:rFonts w:ascii="宋体" w:hAnsi="宋体"/>
                <w:kern w:val="0"/>
                <w:position w:val="-52"/>
                <w:sz w:val="32"/>
                <w:szCs w:val="32"/>
              </w:rPr>
            </w:pPr>
            <w:r>
              <w:rPr>
                <w:rFonts w:ascii="宋体" w:hAnsi="宋体" w:hint="eastAsia"/>
                <w:kern w:val="0"/>
                <w:position w:val="-52"/>
                <w:sz w:val="32"/>
                <w:szCs w:val="32"/>
              </w:rPr>
              <w:t>姓名：</w:t>
            </w:r>
          </w:p>
        </w:tc>
        <w:tc>
          <w:tcPr>
            <w:tcW w:w="4876" w:type="dxa"/>
            <w:tcBorders>
              <w:top w:val="single" w:sz="4" w:space="0" w:color="auto"/>
              <w:bottom w:val="single" w:sz="4" w:space="0" w:color="auto"/>
            </w:tcBorders>
            <w:vAlign w:val="center"/>
          </w:tcPr>
          <w:p w14:paraId="4E92A4DA" w14:textId="77777777" w:rsidR="00793432" w:rsidRDefault="00000000">
            <w:pPr>
              <w:spacing w:line="240" w:lineRule="auto"/>
              <w:ind w:firstLineChars="0" w:firstLine="0"/>
              <w:jc w:val="center"/>
              <w:rPr>
                <w:rFonts w:ascii="宋体" w:hAnsi="宋体"/>
                <w:kern w:val="0"/>
                <w:position w:val="-52"/>
                <w:sz w:val="32"/>
                <w:szCs w:val="32"/>
              </w:rPr>
            </w:pPr>
            <w:r>
              <w:rPr>
                <w:rFonts w:ascii="宋体" w:hAnsi="宋体" w:hint="eastAsia"/>
                <w:kern w:val="0"/>
                <w:position w:val="-52"/>
                <w:sz w:val="32"/>
                <w:szCs w:val="32"/>
              </w:rPr>
              <w:t>李泽轩</w:t>
            </w:r>
          </w:p>
        </w:tc>
      </w:tr>
      <w:tr w:rsidR="00793432" w14:paraId="32B2A98D" w14:textId="77777777">
        <w:trPr>
          <w:jc w:val="center"/>
        </w:trPr>
        <w:tc>
          <w:tcPr>
            <w:tcW w:w="1928" w:type="dxa"/>
            <w:vAlign w:val="center"/>
          </w:tcPr>
          <w:p w14:paraId="0C27A479" w14:textId="77777777" w:rsidR="00793432" w:rsidRDefault="00000000">
            <w:pPr>
              <w:spacing w:line="240" w:lineRule="auto"/>
              <w:ind w:firstLineChars="0" w:firstLine="0"/>
              <w:jc w:val="center"/>
              <w:rPr>
                <w:rFonts w:ascii="宋体" w:hAnsi="宋体"/>
                <w:kern w:val="0"/>
                <w:position w:val="-52"/>
                <w:sz w:val="32"/>
                <w:szCs w:val="32"/>
              </w:rPr>
            </w:pPr>
            <w:r>
              <w:rPr>
                <w:rFonts w:ascii="宋体" w:hAnsi="宋体" w:hint="eastAsia"/>
                <w:kern w:val="0"/>
                <w:position w:val="-52"/>
                <w:sz w:val="32"/>
                <w:szCs w:val="32"/>
              </w:rPr>
              <w:t>学号：</w:t>
            </w:r>
          </w:p>
        </w:tc>
        <w:tc>
          <w:tcPr>
            <w:tcW w:w="4876" w:type="dxa"/>
            <w:tcBorders>
              <w:top w:val="single" w:sz="4" w:space="0" w:color="auto"/>
              <w:bottom w:val="single" w:sz="4" w:space="0" w:color="auto"/>
            </w:tcBorders>
            <w:vAlign w:val="center"/>
          </w:tcPr>
          <w:p w14:paraId="67DD5FD7" w14:textId="77777777" w:rsidR="00793432" w:rsidRDefault="00000000">
            <w:pPr>
              <w:spacing w:line="240" w:lineRule="auto"/>
              <w:ind w:firstLineChars="0" w:firstLine="0"/>
              <w:jc w:val="center"/>
              <w:rPr>
                <w:rFonts w:ascii="宋体" w:hAnsi="宋体"/>
                <w:kern w:val="0"/>
                <w:position w:val="-52"/>
                <w:sz w:val="32"/>
                <w:szCs w:val="32"/>
              </w:rPr>
            </w:pPr>
            <w:r>
              <w:rPr>
                <w:rFonts w:ascii="宋体" w:hAnsi="宋体" w:hint="eastAsia"/>
                <w:kern w:val="0"/>
                <w:position w:val="-52"/>
                <w:sz w:val="32"/>
                <w:szCs w:val="32"/>
              </w:rPr>
              <w:t>202111020308</w:t>
            </w:r>
          </w:p>
        </w:tc>
      </w:tr>
      <w:tr w:rsidR="00793432" w14:paraId="7E775C15" w14:textId="77777777">
        <w:trPr>
          <w:jc w:val="center"/>
        </w:trPr>
        <w:tc>
          <w:tcPr>
            <w:tcW w:w="1928" w:type="dxa"/>
            <w:vAlign w:val="center"/>
          </w:tcPr>
          <w:p w14:paraId="0B1F5606" w14:textId="77777777" w:rsidR="00793432" w:rsidRDefault="00000000">
            <w:pPr>
              <w:spacing w:line="240" w:lineRule="auto"/>
              <w:ind w:firstLineChars="0" w:firstLine="0"/>
              <w:jc w:val="center"/>
              <w:rPr>
                <w:rFonts w:ascii="宋体" w:hAnsi="宋体"/>
                <w:kern w:val="0"/>
                <w:position w:val="-52"/>
                <w:sz w:val="32"/>
                <w:szCs w:val="32"/>
              </w:rPr>
            </w:pPr>
            <w:r>
              <w:rPr>
                <w:rFonts w:ascii="宋体" w:hAnsi="宋体" w:hint="eastAsia"/>
                <w:kern w:val="0"/>
                <w:position w:val="-52"/>
                <w:sz w:val="32"/>
                <w:szCs w:val="32"/>
              </w:rPr>
              <w:t>指导教师：</w:t>
            </w:r>
          </w:p>
        </w:tc>
        <w:tc>
          <w:tcPr>
            <w:tcW w:w="4876" w:type="dxa"/>
            <w:tcBorders>
              <w:top w:val="single" w:sz="4" w:space="0" w:color="auto"/>
              <w:bottom w:val="single" w:sz="4" w:space="0" w:color="auto"/>
            </w:tcBorders>
            <w:vAlign w:val="center"/>
          </w:tcPr>
          <w:p w14:paraId="4C33E8D0" w14:textId="77777777" w:rsidR="00793432" w:rsidRDefault="00000000">
            <w:pPr>
              <w:spacing w:line="240" w:lineRule="auto"/>
              <w:ind w:firstLineChars="0" w:firstLine="0"/>
              <w:jc w:val="center"/>
              <w:rPr>
                <w:rFonts w:ascii="宋体" w:hAnsi="宋体"/>
                <w:kern w:val="0"/>
                <w:position w:val="-52"/>
                <w:sz w:val="32"/>
                <w:szCs w:val="32"/>
              </w:rPr>
            </w:pPr>
            <w:r>
              <w:rPr>
                <w:rFonts w:ascii="宋体" w:hAnsi="宋体" w:hint="eastAsia"/>
                <w:kern w:val="0"/>
                <w:position w:val="-52"/>
                <w:sz w:val="32"/>
                <w:szCs w:val="32"/>
              </w:rPr>
              <w:t>魏博</w:t>
            </w:r>
          </w:p>
        </w:tc>
      </w:tr>
      <w:tr w:rsidR="00793432" w14:paraId="29525E19" w14:textId="77777777">
        <w:trPr>
          <w:jc w:val="center"/>
        </w:trPr>
        <w:tc>
          <w:tcPr>
            <w:tcW w:w="1928" w:type="dxa"/>
            <w:vAlign w:val="center"/>
          </w:tcPr>
          <w:p w14:paraId="4414A0BE" w14:textId="77777777" w:rsidR="00793432" w:rsidRDefault="00000000">
            <w:pPr>
              <w:spacing w:line="240" w:lineRule="auto"/>
              <w:ind w:firstLineChars="0" w:firstLine="0"/>
              <w:jc w:val="center"/>
              <w:rPr>
                <w:rFonts w:ascii="宋体" w:hAnsi="宋体"/>
                <w:kern w:val="0"/>
                <w:position w:val="-52"/>
                <w:sz w:val="32"/>
                <w:szCs w:val="32"/>
              </w:rPr>
            </w:pPr>
            <w:r>
              <w:rPr>
                <w:rFonts w:ascii="宋体" w:hAnsi="宋体" w:hint="eastAsia"/>
                <w:kern w:val="0"/>
                <w:position w:val="-52"/>
                <w:sz w:val="32"/>
                <w:szCs w:val="32"/>
              </w:rPr>
              <w:t>完成日期：</w:t>
            </w:r>
          </w:p>
        </w:tc>
        <w:tc>
          <w:tcPr>
            <w:tcW w:w="4876" w:type="dxa"/>
            <w:tcBorders>
              <w:top w:val="single" w:sz="4" w:space="0" w:color="auto"/>
              <w:bottom w:val="single" w:sz="4" w:space="0" w:color="auto"/>
            </w:tcBorders>
            <w:vAlign w:val="center"/>
          </w:tcPr>
          <w:p w14:paraId="66677076" w14:textId="77777777" w:rsidR="00793432" w:rsidRDefault="00000000">
            <w:pPr>
              <w:spacing w:line="240" w:lineRule="auto"/>
              <w:ind w:firstLineChars="0" w:firstLine="0"/>
              <w:jc w:val="center"/>
              <w:rPr>
                <w:rFonts w:ascii="宋体" w:hAnsi="宋体"/>
                <w:kern w:val="0"/>
                <w:position w:val="-52"/>
                <w:sz w:val="32"/>
                <w:szCs w:val="32"/>
              </w:rPr>
            </w:pPr>
            <w:r>
              <w:rPr>
                <w:rFonts w:ascii="宋体" w:hAnsi="宋体" w:hint="eastAsia"/>
                <w:kern w:val="0"/>
                <w:position w:val="-52"/>
                <w:sz w:val="32"/>
                <w:szCs w:val="32"/>
              </w:rPr>
              <w:t>2026年6月</w:t>
            </w:r>
          </w:p>
        </w:tc>
      </w:tr>
    </w:tbl>
    <w:p w14:paraId="57F0A8E4" w14:textId="77777777" w:rsidR="00793432" w:rsidRDefault="00793432">
      <w:pPr>
        <w:spacing w:line="400" w:lineRule="atLeast"/>
        <w:ind w:firstLineChars="0" w:firstLine="0"/>
        <w:jc w:val="left"/>
        <w:rPr>
          <w:rFonts w:ascii="宋体" w:hAnsi="宋体"/>
          <w:sz w:val="32"/>
          <w:szCs w:val="32"/>
        </w:rPr>
      </w:pPr>
    </w:p>
    <w:p w14:paraId="468C1B6E" w14:textId="77777777" w:rsidR="00793432" w:rsidRDefault="00000000">
      <w:pPr>
        <w:spacing w:line="400" w:lineRule="exact"/>
        <w:jc w:val="center"/>
        <w:rPr>
          <w:rFonts w:ascii="楷体" w:eastAsia="楷体" w:hAnsi="楷体"/>
          <w:szCs w:val="24"/>
        </w:rPr>
        <w:sectPr w:rsidR="00793432">
          <w:headerReference w:type="even" r:id="rId9"/>
          <w:headerReference w:type="default" r:id="rId10"/>
          <w:footerReference w:type="even" r:id="rId11"/>
          <w:footerReference w:type="default" r:id="rId12"/>
          <w:headerReference w:type="first" r:id="rId13"/>
          <w:footerReference w:type="first" r:id="rId14"/>
          <w:pgSz w:w="11906" w:h="16838"/>
          <w:pgMar w:top="1440" w:right="1797" w:bottom="1440" w:left="1797" w:header="850" w:footer="992" w:gutter="0"/>
          <w:cols w:space="425"/>
          <w:docGrid w:type="lines" w:linePitch="312"/>
        </w:sectPr>
      </w:pPr>
      <w:r>
        <w:rPr>
          <w:rFonts w:ascii="楷体" w:eastAsia="楷体" w:hAnsi="楷体" w:hint="eastAsia"/>
          <w:szCs w:val="24"/>
        </w:rPr>
        <w:t>教务处制</w:t>
      </w:r>
    </w:p>
    <w:p w14:paraId="08051452" w14:textId="77777777" w:rsidR="00793432" w:rsidRDefault="00793432">
      <w:pPr>
        <w:jc w:val="center"/>
        <w:rPr>
          <w:rFonts w:ascii="楷体" w:eastAsia="楷体" w:hAnsi="楷体"/>
          <w:szCs w:val="24"/>
        </w:rPr>
      </w:pPr>
    </w:p>
    <w:p w14:paraId="45E93A99" w14:textId="77777777" w:rsidR="00793432" w:rsidRDefault="00000000">
      <w:pPr>
        <w:spacing w:line="400" w:lineRule="exact"/>
        <w:ind w:firstLine="723"/>
        <w:jc w:val="center"/>
        <w:rPr>
          <w:rFonts w:ascii="黑体" w:eastAsia="黑体" w:hAnsi="黑体"/>
          <w:b/>
          <w:sz w:val="36"/>
          <w:szCs w:val="36"/>
        </w:rPr>
      </w:pPr>
      <w:r>
        <w:rPr>
          <w:rFonts w:ascii="黑体" w:eastAsia="黑体" w:hAnsi="黑体" w:hint="eastAsia"/>
          <w:b/>
          <w:sz w:val="36"/>
          <w:szCs w:val="36"/>
        </w:rPr>
        <w:t>学位论文原创性声明</w:t>
      </w:r>
    </w:p>
    <w:p w14:paraId="1F79CAE3" w14:textId="77777777" w:rsidR="00793432" w:rsidRDefault="00793432">
      <w:pPr>
        <w:ind w:firstLine="723"/>
        <w:jc w:val="center"/>
        <w:rPr>
          <w:rFonts w:ascii="黑体" w:eastAsia="黑体" w:hAnsi="黑体"/>
          <w:b/>
          <w:sz w:val="36"/>
          <w:szCs w:val="36"/>
        </w:rPr>
      </w:pPr>
    </w:p>
    <w:p w14:paraId="1E692EFF" w14:textId="77777777" w:rsidR="00793432" w:rsidRDefault="00000000">
      <w:pPr>
        <w:spacing w:line="400" w:lineRule="exact"/>
        <w:ind w:firstLine="560"/>
        <w:jc w:val="left"/>
        <w:rPr>
          <w:rFonts w:eastAsia="楷体"/>
          <w:sz w:val="28"/>
          <w:szCs w:val="36"/>
        </w:rPr>
      </w:pPr>
      <w:r>
        <w:rPr>
          <w:rFonts w:eastAsia="楷体"/>
          <w:sz w:val="28"/>
          <w:szCs w:val="36"/>
        </w:rPr>
        <w:t>本人呈交给山东科技大学的学位论文，除所列参考文献和世所公认的文献外，全部是本人攻读学位期间在导师指导下的研究成果。除文中已经标明引用的内容外，本论文不包含任何其他个人或集体已经发表或撰写过的研究成果。对本文的研究做出贡献的个人和集体，均已在文中以明确方式标明。本人完全意识到本声明的法律后果由本人承担。</w:t>
      </w:r>
    </w:p>
    <w:p w14:paraId="443CBFE2" w14:textId="77777777" w:rsidR="00793432" w:rsidRDefault="00000000">
      <w:pPr>
        <w:spacing w:line="400" w:lineRule="exact"/>
        <w:ind w:firstLine="560"/>
        <w:jc w:val="left"/>
        <w:rPr>
          <w:rFonts w:eastAsia="楷体"/>
          <w:sz w:val="28"/>
          <w:szCs w:val="36"/>
        </w:rPr>
      </w:pPr>
      <w:r>
        <w:rPr>
          <w:rFonts w:eastAsia="楷体" w:hint="eastAsia"/>
          <w:sz w:val="28"/>
          <w:szCs w:val="36"/>
        </w:rPr>
        <w:t>若有不实之处，本人愿意承担相关法律责任。</w:t>
      </w:r>
    </w:p>
    <w:p w14:paraId="699A135F" w14:textId="77777777" w:rsidR="00793432" w:rsidRDefault="00793432">
      <w:pPr>
        <w:spacing w:line="400" w:lineRule="exact"/>
        <w:ind w:firstLine="560"/>
        <w:jc w:val="right"/>
        <w:rPr>
          <w:rFonts w:eastAsia="楷体"/>
          <w:sz w:val="28"/>
          <w:szCs w:val="36"/>
        </w:rPr>
      </w:pPr>
    </w:p>
    <w:p w14:paraId="56E60E49" w14:textId="77777777" w:rsidR="00793432" w:rsidRDefault="00000000">
      <w:pPr>
        <w:spacing w:line="400" w:lineRule="exact"/>
        <w:ind w:firstLine="560"/>
        <w:jc w:val="right"/>
        <w:rPr>
          <w:rFonts w:eastAsia="楷体"/>
          <w:sz w:val="28"/>
          <w:szCs w:val="36"/>
        </w:rPr>
      </w:pPr>
      <w:r>
        <w:rPr>
          <w:rFonts w:eastAsia="楷体" w:hint="eastAsia"/>
          <w:sz w:val="28"/>
          <w:szCs w:val="36"/>
        </w:rPr>
        <w:t>本人签名：</w:t>
      </w:r>
      <w:r>
        <w:rPr>
          <w:rFonts w:eastAsia="楷体" w:hint="eastAsia"/>
          <w:sz w:val="28"/>
          <w:szCs w:val="36"/>
        </w:rPr>
        <w:t xml:space="preserve">               </w:t>
      </w:r>
      <w:r>
        <w:rPr>
          <w:rFonts w:eastAsia="楷体" w:hint="eastAsia"/>
          <w:sz w:val="28"/>
          <w:szCs w:val="36"/>
        </w:rPr>
        <w:t>日</w:t>
      </w:r>
      <w:r>
        <w:rPr>
          <w:rFonts w:eastAsia="楷体" w:hint="eastAsia"/>
          <w:sz w:val="28"/>
          <w:szCs w:val="36"/>
        </w:rPr>
        <w:t xml:space="preserve"> </w:t>
      </w:r>
      <w:r>
        <w:rPr>
          <w:rFonts w:eastAsia="楷体" w:hint="eastAsia"/>
          <w:sz w:val="28"/>
          <w:szCs w:val="36"/>
        </w:rPr>
        <w:t>期：</w:t>
      </w:r>
      <w:r>
        <w:rPr>
          <w:rFonts w:eastAsia="楷体" w:hint="eastAsia"/>
          <w:sz w:val="28"/>
          <w:szCs w:val="36"/>
        </w:rPr>
        <w:t xml:space="preserve">     </w:t>
      </w:r>
      <w:r>
        <w:rPr>
          <w:rFonts w:eastAsia="楷体" w:hint="eastAsia"/>
          <w:sz w:val="28"/>
          <w:szCs w:val="36"/>
        </w:rPr>
        <w:t>年</w:t>
      </w:r>
      <w:r>
        <w:rPr>
          <w:rFonts w:eastAsia="楷体" w:hint="eastAsia"/>
          <w:sz w:val="28"/>
          <w:szCs w:val="36"/>
        </w:rPr>
        <w:t xml:space="preserve">   </w:t>
      </w:r>
      <w:r>
        <w:rPr>
          <w:rFonts w:eastAsia="楷体" w:hint="eastAsia"/>
          <w:sz w:val="28"/>
          <w:szCs w:val="36"/>
        </w:rPr>
        <w:t>月</w:t>
      </w:r>
      <w:r>
        <w:rPr>
          <w:rFonts w:eastAsia="楷体" w:hint="eastAsia"/>
          <w:sz w:val="28"/>
          <w:szCs w:val="36"/>
        </w:rPr>
        <w:t xml:space="preserve">   </w:t>
      </w:r>
      <w:r>
        <w:rPr>
          <w:rFonts w:eastAsia="楷体" w:hint="eastAsia"/>
          <w:sz w:val="28"/>
          <w:szCs w:val="36"/>
        </w:rPr>
        <w:t>日</w:t>
      </w:r>
    </w:p>
    <w:p w14:paraId="52BEDA24" w14:textId="77777777" w:rsidR="00793432" w:rsidRDefault="00793432">
      <w:pPr>
        <w:ind w:firstLine="560"/>
        <w:jc w:val="center"/>
        <w:rPr>
          <w:rFonts w:eastAsia="楷体"/>
          <w:sz w:val="28"/>
          <w:szCs w:val="36"/>
        </w:rPr>
      </w:pPr>
    </w:p>
    <w:p w14:paraId="7EC365D3" w14:textId="77777777" w:rsidR="00793432" w:rsidRDefault="00000000">
      <w:pPr>
        <w:spacing w:line="400" w:lineRule="exact"/>
        <w:ind w:firstLine="723"/>
        <w:jc w:val="center"/>
        <w:rPr>
          <w:rFonts w:ascii="黑体" w:eastAsia="黑体" w:hAnsi="黑体"/>
          <w:b/>
          <w:sz w:val="36"/>
          <w:szCs w:val="36"/>
        </w:rPr>
      </w:pPr>
      <w:r>
        <w:rPr>
          <w:rFonts w:ascii="黑体" w:eastAsia="黑体" w:hAnsi="黑体" w:hint="eastAsia"/>
          <w:b/>
          <w:sz w:val="36"/>
          <w:szCs w:val="36"/>
        </w:rPr>
        <w:t>学位论文使用授权声明</w:t>
      </w:r>
    </w:p>
    <w:p w14:paraId="29264C2F" w14:textId="77777777" w:rsidR="00793432" w:rsidRDefault="00793432">
      <w:pPr>
        <w:ind w:firstLine="723"/>
        <w:jc w:val="center"/>
        <w:rPr>
          <w:rFonts w:ascii="黑体" w:eastAsia="黑体" w:hAnsi="黑体"/>
          <w:b/>
          <w:sz w:val="36"/>
          <w:szCs w:val="36"/>
        </w:rPr>
      </w:pPr>
    </w:p>
    <w:p w14:paraId="3D457CB8" w14:textId="77777777" w:rsidR="00793432" w:rsidRDefault="00000000">
      <w:pPr>
        <w:spacing w:line="400" w:lineRule="exact"/>
        <w:ind w:firstLine="560"/>
        <w:jc w:val="left"/>
        <w:rPr>
          <w:rFonts w:eastAsia="楷体"/>
          <w:sz w:val="28"/>
          <w:szCs w:val="36"/>
        </w:rPr>
      </w:pPr>
      <w:r>
        <w:rPr>
          <w:rFonts w:eastAsia="楷体" w:hint="eastAsia"/>
          <w:sz w:val="28"/>
          <w:szCs w:val="36"/>
        </w:rPr>
        <w:t>本人完全了解山东科技大学有关保留、使用学位论文的规定，同意本人所撰写的学位论文的使用授权按照学校的管理规定处理。</w:t>
      </w:r>
    </w:p>
    <w:p w14:paraId="2DCE69EC" w14:textId="77777777" w:rsidR="00793432" w:rsidRDefault="00000000">
      <w:pPr>
        <w:spacing w:line="400" w:lineRule="exact"/>
        <w:ind w:firstLine="560"/>
        <w:jc w:val="left"/>
        <w:rPr>
          <w:rFonts w:eastAsia="楷体"/>
          <w:sz w:val="28"/>
          <w:szCs w:val="36"/>
        </w:rPr>
      </w:pPr>
      <w:r>
        <w:rPr>
          <w:rFonts w:eastAsia="楷体" w:hint="eastAsia"/>
          <w:sz w:val="28"/>
          <w:szCs w:val="36"/>
        </w:rPr>
        <w:t>作为申请学位的条件之一，学校有权保留学位论文并向国家有关部门或其指定机构送交论文的电子版和纸质版；有权将学位论文的全部或部分内容编入有关数据库发表，并可以以电子、网络及其他数字媒体形式公开出版；允许学校档案馆和图书馆保留学位论文的纸质版和电子版，可以使用影印、缩印或扫描等复制手段保存和汇编学位论文；为教学和科研目的，学校档案馆和图书馆可以将公开的学位论文作为资料在档案馆、图书馆等场所或在校园网上供校内师生阅读、浏览。</w:t>
      </w:r>
    </w:p>
    <w:p w14:paraId="62C25CB9" w14:textId="77777777" w:rsidR="00793432" w:rsidRDefault="00000000">
      <w:pPr>
        <w:spacing w:line="400" w:lineRule="exact"/>
        <w:ind w:firstLine="560"/>
        <w:jc w:val="left"/>
        <w:rPr>
          <w:rFonts w:eastAsia="楷体"/>
          <w:sz w:val="28"/>
          <w:szCs w:val="36"/>
        </w:rPr>
      </w:pPr>
      <w:r>
        <w:rPr>
          <w:rFonts w:eastAsia="楷体" w:hint="eastAsia"/>
          <w:sz w:val="28"/>
          <w:szCs w:val="36"/>
        </w:rPr>
        <w:t>（保密的学位论文在解密后适用本授权）</w:t>
      </w:r>
    </w:p>
    <w:p w14:paraId="556C04D1" w14:textId="77777777" w:rsidR="00793432" w:rsidRDefault="00793432">
      <w:pPr>
        <w:spacing w:line="400" w:lineRule="exact"/>
        <w:ind w:firstLine="560"/>
        <w:jc w:val="left"/>
        <w:rPr>
          <w:rFonts w:eastAsia="楷体"/>
          <w:sz w:val="28"/>
          <w:szCs w:val="36"/>
        </w:rPr>
      </w:pPr>
    </w:p>
    <w:p w14:paraId="2C019713" w14:textId="77777777" w:rsidR="00793432" w:rsidRDefault="00000000">
      <w:pPr>
        <w:spacing w:line="400" w:lineRule="exact"/>
        <w:ind w:firstLineChars="0" w:firstLine="0"/>
        <w:jc w:val="left"/>
        <w:rPr>
          <w:rFonts w:eastAsia="楷体"/>
          <w:sz w:val="28"/>
          <w:szCs w:val="36"/>
        </w:rPr>
      </w:pPr>
      <w:r>
        <w:rPr>
          <w:rFonts w:eastAsia="楷体" w:hint="eastAsia"/>
          <w:sz w:val="28"/>
          <w:szCs w:val="36"/>
        </w:rPr>
        <w:t>作者签名：</w:t>
      </w:r>
      <w:r>
        <w:rPr>
          <w:rFonts w:eastAsia="楷体" w:hint="eastAsia"/>
          <w:sz w:val="28"/>
          <w:szCs w:val="36"/>
        </w:rPr>
        <w:t xml:space="preserve">                       </w:t>
      </w:r>
      <w:r>
        <w:rPr>
          <w:rFonts w:eastAsia="楷体" w:hint="eastAsia"/>
          <w:sz w:val="28"/>
          <w:szCs w:val="36"/>
        </w:rPr>
        <w:t>导师签名：</w:t>
      </w:r>
    </w:p>
    <w:p w14:paraId="540D82E0" w14:textId="77777777" w:rsidR="00793432" w:rsidRDefault="00000000">
      <w:pPr>
        <w:spacing w:line="400" w:lineRule="exact"/>
        <w:ind w:firstLineChars="0" w:firstLine="0"/>
        <w:jc w:val="left"/>
        <w:rPr>
          <w:rFonts w:eastAsia="楷体"/>
          <w:sz w:val="28"/>
          <w:szCs w:val="36"/>
        </w:rPr>
        <w:sectPr w:rsidR="00793432">
          <w:headerReference w:type="default" r:id="rId15"/>
          <w:pgSz w:w="11906" w:h="16838"/>
          <w:pgMar w:top="1440" w:right="1800" w:bottom="1440" w:left="1800" w:header="851" w:footer="992" w:gutter="0"/>
          <w:cols w:space="425"/>
          <w:titlePg/>
          <w:docGrid w:type="lines" w:linePitch="326"/>
        </w:sectPr>
      </w:pPr>
      <w:r>
        <w:rPr>
          <w:rFonts w:eastAsia="楷体" w:hint="eastAsia"/>
          <w:sz w:val="28"/>
          <w:szCs w:val="36"/>
        </w:rPr>
        <w:t>日</w:t>
      </w:r>
      <w:r>
        <w:rPr>
          <w:rFonts w:eastAsia="楷体" w:hint="eastAsia"/>
          <w:sz w:val="28"/>
          <w:szCs w:val="36"/>
        </w:rPr>
        <w:t xml:space="preserve">   </w:t>
      </w:r>
      <w:r>
        <w:rPr>
          <w:rFonts w:eastAsia="楷体" w:hint="eastAsia"/>
          <w:sz w:val="28"/>
          <w:szCs w:val="36"/>
        </w:rPr>
        <w:t>期：</w:t>
      </w:r>
      <w:r>
        <w:rPr>
          <w:rFonts w:eastAsia="楷体" w:hint="eastAsia"/>
          <w:sz w:val="28"/>
          <w:szCs w:val="36"/>
        </w:rPr>
        <w:t xml:space="preserve">    </w:t>
      </w:r>
      <w:r>
        <w:rPr>
          <w:rFonts w:eastAsia="楷体" w:hint="eastAsia"/>
          <w:sz w:val="28"/>
          <w:szCs w:val="36"/>
        </w:rPr>
        <w:t>年</w:t>
      </w:r>
      <w:r>
        <w:rPr>
          <w:rFonts w:eastAsia="楷体" w:hint="eastAsia"/>
          <w:sz w:val="28"/>
          <w:szCs w:val="36"/>
        </w:rPr>
        <w:t xml:space="preserve">   </w:t>
      </w:r>
      <w:r>
        <w:rPr>
          <w:rFonts w:eastAsia="楷体" w:hint="eastAsia"/>
          <w:sz w:val="28"/>
          <w:szCs w:val="36"/>
        </w:rPr>
        <w:t>月</w:t>
      </w:r>
      <w:r>
        <w:rPr>
          <w:rFonts w:eastAsia="楷体" w:hint="eastAsia"/>
          <w:sz w:val="28"/>
          <w:szCs w:val="36"/>
        </w:rPr>
        <w:t xml:space="preserve">   </w:t>
      </w:r>
      <w:r>
        <w:rPr>
          <w:rFonts w:eastAsia="楷体" w:hint="eastAsia"/>
          <w:sz w:val="28"/>
          <w:szCs w:val="36"/>
        </w:rPr>
        <w:t>日</w:t>
      </w:r>
      <w:r>
        <w:rPr>
          <w:rFonts w:eastAsia="楷体" w:hint="eastAsia"/>
          <w:sz w:val="28"/>
          <w:szCs w:val="36"/>
        </w:rPr>
        <w:t xml:space="preserve">        </w:t>
      </w:r>
      <w:r>
        <w:rPr>
          <w:rFonts w:eastAsia="楷体" w:hint="eastAsia"/>
          <w:sz w:val="28"/>
          <w:szCs w:val="36"/>
        </w:rPr>
        <w:t>日</w:t>
      </w:r>
      <w:r>
        <w:rPr>
          <w:rFonts w:eastAsia="楷体" w:hint="eastAsia"/>
          <w:sz w:val="28"/>
          <w:szCs w:val="36"/>
        </w:rPr>
        <w:t xml:space="preserve">   </w:t>
      </w:r>
      <w:r>
        <w:rPr>
          <w:rFonts w:eastAsia="楷体" w:hint="eastAsia"/>
          <w:sz w:val="28"/>
          <w:szCs w:val="36"/>
        </w:rPr>
        <w:t>期：</w:t>
      </w:r>
      <w:r>
        <w:rPr>
          <w:rFonts w:eastAsia="楷体" w:hint="eastAsia"/>
          <w:sz w:val="28"/>
          <w:szCs w:val="36"/>
        </w:rPr>
        <w:t xml:space="preserve">    </w:t>
      </w:r>
      <w:r>
        <w:rPr>
          <w:rFonts w:eastAsia="楷体" w:hint="eastAsia"/>
          <w:sz w:val="28"/>
          <w:szCs w:val="36"/>
        </w:rPr>
        <w:t>年</w:t>
      </w:r>
      <w:r>
        <w:rPr>
          <w:rFonts w:eastAsia="楷体" w:hint="eastAsia"/>
          <w:sz w:val="28"/>
          <w:szCs w:val="36"/>
        </w:rPr>
        <w:t xml:space="preserve">   </w:t>
      </w:r>
      <w:r>
        <w:rPr>
          <w:rFonts w:eastAsia="楷体" w:hint="eastAsia"/>
          <w:sz w:val="28"/>
          <w:szCs w:val="36"/>
        </w:rPr>
        <w:t>月</w:t>
      </w:r>
      <w:r>
        <w:rPr>
          <w:rFonts w:eastAsia="楷体" w:hint="eastAsia"/>
          <w:sz w:val="28"/>
          <w:szCs w:val="36"/>
        </w:rPr>
        <w:t xml:space="preserve">  </w:t>
      </w:r>
      <w:r>
        <w:rPr>
          <w:rFonts w:eastAsia="楷体" w:hint="eastAsia"/>
          <w:sz w:val="28"/>
          <w:szCs w:val="36"/>
        </w:rPr>
        <w:t>日</w:t>
      </w:r>
      <w:r>
        <w:rPr>
          <w:rFonts w:eastAsia="楷体" w:hint="eastAsia"/>
          <w:sz w:val="28"/>
          <w:szCs w:val="36"/>
        </w:rPr>
        <w:t xml:space="preserve"> </w:t>
      </w:r>
    </w:p>
    <w:p w14:paraId="2562B673" w14:textId="77777777" w:rsidR="00793432" w:rsidRDefault="00000000">
      <w:pPr>
        <w:spacing w:beforeLines="50" w:before="163" w:afterLines="50" w:after="163" w:line="400" w:lineRule="exact"/>
        <w:ind w:firstLine="720"/>
        <w:jc w:val="center"/>
        <w:rPr>
          <w:rFonts w:eastAsia="黑体"/>
          <w:sz w:val="36"/>
          <w:szCs w:val="36"/>
        </w:rPr>
      </w:pPr>
      <w:r>
        <w:rPr>
          <w:rFonts w:eastAsia="黑体" w:hint="eastAsia"/>
          <w:sz w:val="36"/>
          <w:szCs w:val="36"/>
        </w:rPr>
        <w:lastRenderedPageBreak/>
        <w:t>摘</w:t>
      </w:r>
      <w:r>
        <w:rPr>
          <w:rFonts w:eastAsia="黑体" w:hint="eastAsia"/>
          <w:sz w:val="36"/>
          <w:szCs w:val="36"/>
        </w:rPr>
        <w:t xml:space="preserve"> </w:t>
      </w:r>
      <w:r>
        <w:rPr>
          <w:rFonts w:eastAsia="黑体"/>
          <w:sz w:val="36"/>
          <w:szCs w:val="36"/>
        </w:rPr>
        <w:t xml:space="preserve"> </w:t>
      </w:r>
      <w:r>
        <w:rPr>
          <w:rFonts w:eastAsia="黑体" w:hint="eastAsia"/>
          <w:sz w:val="36"/>
          <w:szCs w:val="36"/>
        </w:rPr>
        <w:t>要</w:t>
      </w:r>
    </w:p>
    <w:p w14:paraId="6E8E02E8" w14:textId="2EA7C86A" w:rsidR="00793432" w:rsidRDefault="00000000">
      <w:pPr>
        <w:rPr>
          <w:szCs w:val="36"/>
        </w:rPr>
      </w:pPr>
      <w:r>
        <w:t>酚类污染物可由生物质燃烧、化石燃料燃烧、工业排放及天然有机物转化持续进入大气和水环境，并在羟基自由基、硫酸根自由基等活性物种作用下生成更复杂的二次产物。关键反应位点决定污染物初始转化路径，是高级氧化工艺设计和生态风险评价中的重要基础信息。针对传统量子化学路径计算难以支撑大规模污染物筛查的问题，本文以美国专利商标局公开反应数据集</w:t>
      </w:r>
      <w:r>
        <w:t xml:space="preserve"> USPTO-50k</w:t>
      </w:r>
      <w:r>
        <w:t>为来源，构建了包含</w:t>
      </w:r>
      <w:r>
        <w:t xml:space="preserve"> 138 </w:t>
      </w:r>
      <w:r>
        <w:t>个酚类及相关芳香污染物、</w:t>
      </w:r>
      <w:r>
        <w:t xml:space="preserve">2509 </w:t>
      </w:r>
      <w:r>
        <w:t>个重原子的</w:t>
      </w:r>
      <w:r>
        <w:t xml:space="preserve"> Gaussian-138 </w:t>
      </w:r>
      <w:r>
        <w:t>数据集，并在统一原子级二分类框架下比较</w:t>
      </w:r>
      <w:r>
        <w:t xml:space="preserve"> </w:t>
      </w:r>
      <w:proofErr w:type="spellStart"/>
      <w:r>
        <w:t>Chemprop</w:t>
      </w:r>
      <w:proofErr w:type="spellEnd"/>
      <w:r>
        <w:t xml:space="preserve"> </w:t>
      </w:r>
      <w:r>
        <w:t>有向消息传递图神经网络与</w:t>
      </w:r>
      <w:r>
        <w:t xml:space="preserve"> Random Forest</w:t>
      </w:r>
      <w:r>
        <w:t>（随机森林）、</w:t>
      </w:r>
      <w:r>
        <w:t>Extra Trees</w:t>
      </w:r>
      <w:r>
        <w:t>（极端随机树）、</w:t>
      </w:r>
      <w:r>
        <w:t>Gradient Boosting</w:t>
      </w:r>
      <w:r>
        <w:t>（梯度提升树）、</w:t>
      </w:r>
      <w:r>
        <w:t>RBF-SVM</w:t>
      </w:r>
      <w:r>
        <w:t>（径向基函数核支持向量机）和</w:t>
      </w:r>
      <w:r>
        <w:t xml:space="preserve"> Logistic Regression</w:t>
      </w:r>
      <w:r>
        <w:t>（逻辑回归）五类传统机器学习模型。研究进一步引入</w:t>
      </w:r>
      <w:r>
        <w:t xml:space="preserve"> NPA</w:t>
      </w:r>
      <w:r>
        <w:t>原子电荷与</w:t>
      </w:r>
      <w:r>
        <w:t xml:space="preserve"> Mulliken </w:t>
      </w:r>
      <w:r>
        <w:t>原子电荷、酚类结构先验、</w:t>
      </w:r>
      <w:r>
        <w:t xml:space="preserve">Fukui </w:t>
      </w:r>
      <w:r>
        <w:t>反应活性指数和</w:t>
      </w:r>
      <w:r>
        <w:t xml:space="preserve"> NICS</w:t>
      </w:r>
      <w:r>
        <w:t>芳香性描述符，通过十四组特征消融分析不同描述符对反应位点识别的贡献。结果表明，</w:t>
      </w:r>
      <w:r>
        <w:t xml:space="preserve">Random Forest </w:t>
      </w:r>
      <w:r>
        <w:t>在</w:t>
      </w:r>
      <w:r>
        <w:t>“</w:t>
      </w:r>
      <w:r>
        <w:t>酚类结构特征</w:t>
      </w:r>
      <w:r>
        <w:t xml:space="preserve"> + </w:t>
      </w:r>
      <w:r>
        <w:t>绝对电荷</w:t>
      </w:r>
      <w:r>
        <w:t>”</w:t>
      </w:r>
      <w:r>
        <w:t>组合下取得</w:t>
      </w:r>
      <w:r>
        <w:t xml:space="preserve"> PRC</w:t>
      </w:r>
      <w:r w:rsidR="00232ACD">
        <w:rPr>
          <w:rFonts w:hint="eastAsia"/>
        </w:rPr>
        <w:t xml:space="preserve">: </w:t>
      </w:r>
      <w:r>
        <w:t>0.8585</w:t>
      </w:r>
      <w:r>
        <w:t>、</w:t>
      </w:r>
      <w:r>
        <w:t>Hit@1</w:t>
      </w:r>
      <w:r>
        <w:rPr>
          <w:rFonts w:hint="eastAsia"/>
        </w:rPr>
        <w:t>：</w:t>
      </w:r>
      <w:r>
        <w:t xml:space="preserve">0.8929 </w:t>
      </w:r>
      <w:r>
        <w:t>和</w:t>
      </w:r>
      <w:r>
        <w:t xml:space="preserve"> Hit@3</w:t>
      </w:r>
      <w:r>
        <w:rPr>
          <w:rFonts w:hint="eastAsia"/>
        </w:rPr>
        <w:t>：</w:t>
      </w:r>
      <w:r>
        <w:t>0.9643</w:t>
      </w:r>
      <w:r>
        <w:t>，是小样本条件下相对稳健的传统机器学习基线；</w:t>
      </w:r>
      <w:proofErr w:type="spellStart"/>
      <w:r>
        <w:t>Chemprop</w:t>
      </w:r>
      <w:proofErr w:type="spellEnd"/>
      <w:r>
        <w:t xml:space="preserve"> </w:t>
      </w:r>
      <w:r>
        <w:t>在</w:t>
      </w:r>
      <w:r>
        <w:t>“</w:t>
      </w:r>
      <w:r>
        <w:t>酚类结构</w:t>
      </w:r>
      <w:r>
        <w:t xml:space="preserve"> - </w:t>
      </w:r>
      <w:r>
        <w:t>绝对电荷</w:t>
      </w:r>
      <w:r>
        <w:t xml:space="preserve"> - Fukui - NICS </w:t>
      </w:r>
      <w:r>
        <w:t>全融合</w:t>
      </w:r>
      <w:r>
        <w:t>”</w:t>
      </w:r>
      <w:r>
        <w:t>组合下取得</w:t>
      </w:r>
      <w:r>
        <w:t xml:space="preserve"> Test PRC 0.7344</w:t>
      </w:r>
      <w:r>
        <w:t>，说明反应性原子描述符能够为多元素分子图的消息传递提供补充信息。在约</w:t>
      </w:r>
      <w:r>
        <w:t xml:space="preserve"> 5 </w:t>
      </w:r>
      <w:r>
        <w:t>万分子的公开反应位点数据上，</w:t>
      </w:r>
      <w:r>
        <w:t xml:space="preserve">Random Forest </w:t>
      </w:r>
      <w:r>
        <w:t>基于</w:t>
      </w:r>
      <w:r>
        <w:t xml:space="preserve"> </w:t>
      </w:r>
      <w:proofErr w:type="spellStart"/>
      <w:r>
        <w:t>RDKit</w:t>
      </w:r>
      <w:proofErr w:type="spellEnd"/>
      <w:r>
        <w:t>（</w:t>
      </w:r>
      <w:r>
        <w:t>Cheminformatics Toolkit</w:t>
      </w:r>
      <w:r>
        <w:t>）结构特征取得</w:t>
      </w:r>
      <w:r>
        <w:t xml:space="preserve"> PRC 0.8721</w:t>
      </w:r>
      <w:r>
        <w:t>，显示树模型在结构信号充分时具有较强稳健性。本文结果为酚类污染物高通量反应活性筛选和关键位点识别提供了可复现的建模依据。</w:t>
      </w:r>
    </w:p>
    <w:p w14:paraId="59127C4F" w14:textId="060328B0" w:rsidR="00793432" w:rsidRDefault="00000000">
      <w:pPr>
        <w:rPr>
          <w:szCs w:val="36"/>
        </w:rPr>
        <w:sectPr w:rsidR="00793432">
          <w:headerReference w:type="default" r:id="rId16"/>
          <w:headerReference w:type="first" r:id="rId17"/>
          <w:footerReference w:type="first" r:id="rId18"/>
          <w:pgSz w:w="11906" w:h="16838"/>
          <w:pgMar w:top="1440" w:right="1797" w:bottom="1440" w:left="1797" w:header="850" w:footer="992" w:gutter="0"/>
          <w:cols w:space="425"/>
          <w:titlePg/>
          <w:docGrid w:type="lines" w:linePitch="326"/>
        </w:sectPr>
      </w:pPr>
      <w:r>
        <w:t>关键词：酚类污染物；自由基反应位点；图神经网络；机器学习；</w:t>
      </w:r>
      <w:r>
        <w:t xml:space="preserve">Fukui </w:t>
      </w:r>
      <w:r>
        <w:t>指数；</w:t>
      </w:r>
      <w:r>
        <w:t xml:space="preserve">NICS </w:t>
      </w:r>
      <w:r>
        <w:t>芳香性指数</w:t>
      </w:r>
    </w:p>
    <w:p w14:paraId="3537D09F" w14:textId="77777777" w:rsidR="00793432" w:rsidRDefault="00000000">
      <w:pPr>
        <w:tabs>
          <w:tab w:val="left" w:pos="3495"/>
        </w:tabs>
        <w:rPr>
          <w:rFonts w:eastAsia="黑体"/>
          <w:sz w:val="36"/>
          <w:szCs w:val="36"/>
        </w:rPr>
      </w:pPr>
      <w:r>
        <w:rPr>
          <w:szCs w:val="36"/>
        </w:rPr>
        <w:lastRenderedPageBreak/>
        <w:tab/>
        <w:t>ABSTRACT</w:t>
      </w:r>
    </w:p>
    <w:p w14:paraId="49AA879F" w14:textId="77777777" w:rsidR="003D67DC" w:rsidRDefault="003D67DC">
      <w:pPr>
        <w:spacing w:beforeLines="50" w:before="163" w:afterLines="50" w:after="163"/>
      </w:pPr>
      <w:r w:rsidRPr="003D67DC">
        <w:t xml:space="preserve">Phenolic pollutants continuously enter the atmosphere and aquatic environments through biomass combustion, fossil fuel combustion, industrial emissions and natural organic matter transformation, and generate more complex secondary products under the effect of reactive species such as hydroxyl radicals and sulfate radicals. Key reactive sites determine the initial transformation pathways of pollutants and serve as fundamental data for advanced oxidation process design and ecological risk assessment. To address the limitation that traditional quantum chemical pathway calculations cannot support large-scale pollutant screening, this study constructed the Gaussian-138 dataset consisting of 138 phenolic and related aromatic pollutants with 2509 heavy atoms based on the USPTO-50k dataset released by the United States Patent and Trademark Office. Within a unified atomic-level binary classification framework, we compared the directed message-passing graph neural network </w:t>
      </w:r>
      <w:proofErr w:type="spellStart"/>
      <w:r w:rsidRPr="003D67DC">
        <w:t>Chemprop</w:t>
      </w:r>
      <w:proofErr w:type="spellEnd"/>
      <w:r w:rsidRPr="003D67DC">
        <w:t xml:space="preserve"> with five traditional machine learning models: Random Forest, Extra Trees, Gradient Boosting, RBF-SVM and Logistic Regression. We further introduced NPA atomic charges, Mulliken atomic charges, phenolic structural priors, Fukui reactivity indices and NICS aromaticity descriptors, and performed 14 groups of feature ablation analyses to explore the contribution of different descriptors to reactive site identification. The results indicate that Random Forest, combining phenolic structural features and absolute charges, achieved a PRC of 0.8585, Hit@1 of 0.8929 and </w:t>
      </w:r>
      <w:proofErr w:type="gramStart"/>
      <w:r w:rsidRPr="003D67DC">
        <w:t>Hit</w:t>
      </w:r>
      <w:proofErr w:type="gramEnd"/>
      <w:r w:rsidRPr="003D67DC">
        <w:t xml:space="preserve">@3 of 0.9643, presenting good robustness as a traditional machine learning baseline under small-sample conditions. </w:t>
      </w:r>
      <w:proofErr w:type="spellStart"/>
      <w:r w:rsidRPr="003D67DC">
        <w:t>Chemprop</w:t>
      </w:r>
      <w:proofErr w:type="spellEnd"/>
      <w:r w:rsidRPr="003D67DC">
        <w:t xml:space="preserve"> obtained a test PRC of 0.7344 with the full integration of phenolic structures, absolute charges, Fukui indices and NICS descriptors, which verifies that reactivity-related atomic descriptors can supplement information for message passing on multi-element molecular graphs. On the public reactive site dataset of nearly 50,000 molecules, Random Forest using structural features extracted via </w:t>
      </w:r>
      <w:proofErr w:type="spellStart"/>
      <w:r w:rsidRPr="003D67DC">
        <w:t>RDKit</w:t>
      </w:r>
      <w:proofErr w:type="spellEnd"/>
      <w:r w:rsidRPr="003D67DC">
        <w:t xml:space="preserve"> attained a PRC of 0.8721, demonstrating that tree-based models have strong robustness when structural information is sufficient. This study provides reproducible modeling support for high-</w:t>
      </w:r>
      <w:r w:rsidRPr="003D67DC">
        <w:lastRenderedPageBreak/>
        <w:t>throughput reactivity screening and key reactive site identification of phenolic pollutants.</w:t>
      </w:r>
    </w:p>
    <w:p w14:paraId="137651ED" w14:textId="27687AB9" w:rsidR="00793432" w:rsidRDefault="00000000">
      <w:pPr>
        <w:spacing w:beforeLines="50" w:before="163" w:afterLines="50" w:after="163"/>
        <w:rPr>
          <w:szCs w:val="36"/>
        </w:rPr>
      </w:pPr>
      <w:r>
        <w:t xml:space="preserve">KEY WORDS: </w:t>
      </w:r>
      <w:r w:rsidR="003D67DC" w:rsidRPr="003D67DC">
        <w:t>Phenolic pollutants; Radical reactive sites; Graph neural networks; Machine learning; Fukui indices; NICS aromaticity indices</w:t>
      </w:r>
    </w:p>
    <w:p w14:paraId="3D31B0A3" w14:textId="77777777" w:rsidR="00793432" w:rsidRDefault="00000000">
      <w:pPr>
        <w:widowControl/>
        <w:spacing w:line="240" w:lineRule="auto"/>
        <w:ind w:firstLineChars="0" w:firstLine="0"/>
        <w:jc w:val="left"/>
        <w:rPr>
          <w:szCs w:val="36"/>
        </w:rPr>
      </w:pPr>
      <w:r>
        <w:rPr>
          <w:szCs w:val="36"/>
        </w:rPr>
        <w:br w:type="page"/>
      </w:r>
    </w:p>
    <w:p w14:paraId="36523841" w14:textId="77777777" w:rsidR="00793432" w:rsidRDefault="00793432">
      <w:pPr>
        <w:spacing w:beforeLines="50" w:before="163" w:afterLines="50" w:after="163" w:line="400" w:lineRule="atLeast"/>
        <w:ind w:firstLineChars="0" w:firstLine="0"/>
        <w:jc w:val="left"/>
        <w:rPr>
          <w:szCs w:val="36"/>
        </w:rPr>
        <w:sectPr w:rsidR="00793432">
          <w:headerReference w:type="default" r:id="rId19"/>
          <w:footerReference w:type="default" r:id="rId20"/>
          <w:pgSz w:w="11906" w:h="16838"/>
          <w:pgMar w:top="1440" w:right="1797" w:bottom="1440" w:left="1797" w:header="850" w:footer="992" w:gutter="0"/>
          <w:cols w:space="425"/>
          <w:titlePg/>
          <w:docGrid w:type="lines" w:linePitch="326"/>
        </w:sectPr>
      </w:pPr>
    </w:p>
    <w:sdt>
      <w:sdtPr>
        <w:rPr>
          <w:rFonts w:ascii="宋体" w:hAnsi="宋体"/>
          <w:sz w:val="21"/>
        </w:rPr>
        <w:id w:val="147461925"/>
        <w15:color w:val="DBDBDB"/>
        <w:docPartObj>
          <w:docPartGallery w:val="Table of Contents"/>
          <w:docPartUnique/>
        </w:docPartObj>
      </w:sdtPr>
      <w:sdtEndPr>
        <w:rPr>
          <w:rFonts w:ascii="Times New Roman" w:hAnsi="Times New Roman"/>
          <w:sz w:val="24"/>
        </w:rPr>
      </w:sdtEndPr>
      <w:sdtContent>
        <w:p w14:paraId="0B44E3B1" w14:textId="77777777" w:rsidR="00793432" w:rsidRDefault="00000000">
          <w:pPr>
            <w:spacing w:beforeLines="50" w:before="163" w:afterLines="50" w:after="163" w:line="400" w:lineRule="atLeast"/>
            <w:ind w:firstLine="420"/>
            <w:jc w:val="center"/>
            <w:rPr>
              <w:rFonts w:ascii="宋体" w:hAnsi="宋体" w:cs="宋体"/>
            </w:rPr>
          </w:pPr>
          <w:r>
            <w:rPr>
              <w:rFonts w:ascii="宋体" w:hAnsi="宋体" w:cs="宋体" w:hint="eastAsia"/>
              <w:b/>
              <w:sz w:val="36"/>
              <w:szCs w:val="36"/>
            </w:rPr>
            <w:t>目  录</w:t>
          </w:r>
        </w:p>
        <w:p w14:paraId="6CDFBB1D" w14:textId="77777777" w:rsidR="00793432" w:rsidRDefault="00000000">
          <w:pPr>
            <w:pStyle w:val="TOC1"/>
            <w:tabs>
              <w:tab w:val="clear" w:pos="8296"/>
              <w:tab w:val="right" w:leader="dot" w:pos="8312"/>
            </w:tabs>
            <w:spacing w:before="163" w:after="163"/>
          </w:pPr>
          <w:r>
            <w:rPr>
              <w:rFonts w:ascii="宋体" w:hAnsi="宋体" w:cs="宋体" w:hint="eastAsia"/>
            </w:rPr>
            <w:fldChar w:fldCharType="begin"/>
          </w:r>
          <w:r>
            <w:rPr>
              <w:rFonts w:ascii="宋体" w:hAnsi="宋体" w:cs="宋体" w:hint="eastAsia"/>
            </w:rPr>
            <w:instrText xml:space="preserve">TOC \o "1-2" \h \u </w:instrText>
          </w:r>
          <w:r>
            <w:rPr>
              <w:rFonts w:ascii="宋体" w:hAnsi="宋体" w:cs="宋体" w:hint="eastAsia"/>
            </w:rPr>
            <w:fldChar w:fldCharType="separate"/>
          </w:r>
          <w:hyperlink w:anchor="_Toc29937" w:history="1">
            <w:r w:rsidR="00793432">
              <w:rPr>
                <w:rFonts w:eastAsia="黑体"/>
              </w:rPr>
              <w:t>第</w:t>
            </w:r>
            <w:r w:rsidR="00793432">
              <w:rPr>
                <w:rFonts w:eastAsia="黑体"/>
              </w:rPr>
              <w:t>1</w:t>
            </w:r>
            <w:r w:rsidR="00793432">
              <w:rPr>
                <w:rFonts w:eastAsia="黑体"/>
              </w:rPr>
              <w:t>章绪论</w:t>
            </w:r>
            <w:r w:rsidR="00793432">
              <w:tab/>
            </w:r>
            <w:r w:rsidR="00793432">
              <w:fldChar w:fldCharType="begin"/>
            </w:r>
            <w:r w:rsidR="00793432">
              <w:instrText xml:space="preserve"> PAGEREF _Toc29937 \h </w:instrText>
            </w:r>
            <w:r w:rsidR="00793432">
              <w:fldChar w:fldCharType="separate"/>
            </w:r>
            <w:r w:rsidR="00793432">
              <w:t>1</w:t>
            </w:r>
            <w:r w:rsidR="00793432">
              <w:fldChar w:fldCharType="end"/>
            </w:r>
          </w:hyperlink>
        </w:p>
        <w:p w14:paraId="5E1A421E" w14:textId="77777777" w:rsidR="00793432" w:rsidRDefault="00793432">
          <w:pPr>
            <w:pStyle w:val="TOC2"/>
            <w:tabs>
              <w:tab w:val="clear" w:pos="8296"/>
              <w:tab w:val="right" w:leader="dot" w:pos="8312"/>
            </w:tabs>
          </w:pPr>
          <w:hyperlink w:anchor="_Toc27287" w:history="1">
            <w:r>
              <w:rPr>
                <w:rFonts w:eastAsia="黑体"/>
              </w:rPr>
              <w:t>1.1</w:t>
            </w:r>
            <w:r>
              <w:rPr>
                <w:rFonts w:eastAsia="黑体"/>
              </w:rPr>
              <w:t>研究背景</w:t>
            </w:r>
            <w:r>
              <w:tab/>
            </w:r>
            <w:r>
              <w:fldChar w:fldCharType="begin"/>
            </w:r>
            <w:r>
              <w:instrText xml:space="preserve"> PAGEREF _Toc27287 \h </w:instrText>
            </w:r>
            <w:r>
              <w:fldChar w:fldCharType="separate"/>
            </w:r>
            <w:r>
              <w:t>1</w:t>
            </w:r>
            <w:r>
              <w:fldChar w:fldCharType="end"/>
            </w:r>
          </w:hyperlink>
        </w:p>
        <w:p w14:paraId="30675908" w14:textId="77777777" w:rsidR="00793432" w:rsidRDefault="00793432">
          <w:pPr>
            <w:pStyle w:val="TOC2"/>
            <w:tabs>
              <w:tab w:val="clear" w:pos="8296"/>
              <w:tab w:val="right" w:leader="dot" w:pos="8312"/>
            </w:tabs>
          </w:pPr>
          <w:hyperlink w:anchor="_Toc12903" w:history="1">
            <w:r>
              <w:rPr>
                <w:rFonts w:eastAsia="黑体"/>
              </w:rPr>
              <w:t>1.2</w:t>
            </w:r>
            <w:r>
              <w:rPr>
                <w:rFonts w:eastAsia="黑体"/>
              </w:rPr>
              <w:t>国内外研究现状</w:t>
            </w:r>
            <w:r>
              <w:tab/>
            </w:r>
            <w:r>
              <w:fldChar w:fldCharType="begin"/>
            </w:r>
            <w:r>
              <w:instrText xml:space="preserve"> PAGEREF _Toc12903 \h </w:instrText>
            </w:r>
            <w:r>
              <w:fldChar w:fldCharType="separate"/>
            </w:r>
            <w:r>
              <w:t>2</w:t>
            </w:r>
            <w:r>
              <w:fldChar w:fldCharType="end"/>
            </w:r>
          </w:hyperlink>
        </w:p>
        <w:p w14:paraId="07CF6379" w14:textId="77777777" w:rsidR="00793432" w:rsidRDefault="00793432">
          <w:pPr>
            <w:pStyle w:val="TOC2"/>
            <w:tabs>
              <w:tab w:val="clear" w:pos="8296"/>
              <w:tab w:val="right" w:leader="dot" w:pos="8312"/>
            </w:tabs>
          </w:pPr>
          <w:hyperlink w:anchor="_Toc3422" w:history="1">
            <w:r>
              <w:rPr>
                <w:rFonts w:eastAsia="黑体"/>
              </w:rPr>
              <w:t>1.3</w:t>
            </w:r>
            <w:r>
              <w:rPr>
                <w:rFonts w:eastAsia="黑体"/>
              </w:rPr>
              <w:t>研究内容与技术路线</w:t>
            </w:r>
            <w:r>
              <w:tab/>
            </w:r>
            <w:r>
              <w:fldChar w:fldCharType="begin"/>
            </w:r>
            <w:r>
              <w:instrText xml:space="preserve"> PAGEREF _Toc3422 \h </w:instrText>
            </w:r>
            <w:r>
              <w:fldChar w:fldCharType="separate"/>
            </w:r>
            <w:r>
              <w:t>4</w:t>
            </w:r>
            <w:r>
              <w:fldChar w:fldCharType="end"/>
            </w:r>
          </w:hyperlink>
        </w:p>
        <w:p w14:paraId="3A27CB16" w14:textId="77777777" w:rsidR="00793432" w:rsidRDefault="00793432">
          <w:pPr>
            <w:pStyle w:val="TOC1"/>
            <w:tabs>
              <w:tab w:val="clear" w:pos="8296"/>
              <w:tab w:val="right" w:leader="dot" w:pos="8312"/>
            </w:tabs>
            <w:spacing w:before="163" w:after="163"/>
          </w:pPr>
          <w:hyperlink w:anchor="_Toc7991" w:history="1">
            <w:r>
              <w:rPr>
                <w:rFonts w:eastAsia="黑体"/>
              </w:rPr>
              <w:t>第</w:t>
            </w:r>
            <w:r>
              <w:rPr>
                <w:rFonts w:eastAsia="黑体"/>
              </w:rPr>
              <w:t>2</w:t>
            </w:r>
            <w:r>
              <w:rPr>
                <w:rFonts w:eastAsia="黑体"/>
              </w:rPr>
              <w:t>章理论基础与研究方法</w:t>
            </w:r>
            <w:r>
              <w:tab/>
            </w:r>
            <w:r>
              <w:fldChar w:fldCharType="begin"/>
            </w:r>
            <w:r>
              <w:instrText xml:space="preserve"> PAGEREF _Toc7991 \h </w:instrText>
            </w:r>
            <w:r>
              <w:fldChar w:fldCharType="separate"/>
            </w:r>
            <w:r>
              <w:t>6</w:t>
            </w:r>
            <w:r>
              <w:fldChar w:fldCharType="end"/>
            </w:r>
          </w:hyperlink>
        </w:p>
        <w:p w14:paraId="23A6D253" w14:textId="77777777" w:rsidR="00793432" w:rsidRDefault="00793432">
          <w:pPr>
            <w:pStyle w:val="TOC2"/>
            <w:tabs>
              <w:tab w:val="clear" w:pos="8296"/>
              <w:tab w:val="right" w:leader="dot" w:pos="8312"/>
            </w:tabs>
          </w:pPr>
          <w:hyperlink w:anchor="_Toc5023" w:history="1">
            <w:r>
              <w:rPr>
                <w:rFonts w:eastAsia="黑体"/>
              </w:rPr>
              <w:t>2.1</w:t>
            </w:r>
            <w:r>
              <w:rPr>
                <w:rFonts w:eastAsia="黑体"/>
              </w:rPr>
              <w:t>自由基反应位点预测任务</w:t>
            </w:r>
            <w:r>
              <w:tab/>
            </w:r>
            <w:r>
              <w:fldChar w:fldCharType="begin"/>
            </w:r>
            <w:r>
              <w:instrText xml:space="preserve"> PAGEREF _Toc5023 \h </w:instrText>
            </w:r>
            <w:r>
              <w:fldChar w:fldCharType="separate"/>
            </w:r>
            <w:r>
              <w:t>6</w:t>
            </w:r>
            <w:r>
              <w:fldChar w:fldCharType="end"/>
            </w:r>
          </w:hyperlink>
        </w:p>
        <w:p w14:paraId="51DF90FE" w14:textId="77777777" w:rsidR="00793432" w:rsidRDefault="00793432">
          <w:pPr>
            <w:pStyle w:val="TOC2"/>
            <w:tabs>
              <w:tab w:val="clear" w:pos="8296"/>
              <w:tab w:val="right" w:leader="dot" w:pos="8312"/>
            </w:tabs>
          </w:pPr>
          <w:hyperlink w:anchor="_Toc16893" w:history="1">
            <w:r>
              <w:rPr>
                <w:rFonts w:eastAsia="黑体"/>
              </w:rPr>
              <w:t>2.2Gaussian</w:t>
            </w:r>
            <w:r>
              <w:rPr>
                <w:rFonts w:eastAsia="黑体"/>
              </w:rPr>
              <w:t>量子化学描述符</w:t>
            </w:r>
            <w:r>
              <w:tab/>
            </w:r>
            <w:r>
              <w:fldChar w:fldCharType="begin"/>
            </w:r>
            <w:r>
              <w:instrText xml:space="preserve"> PAGEREF _Toc16893 \h </w:instrText>
            </w:r>
            <w:r>
              <w:fldChar w:fldCharType="separate"/>
            </w:r>
            <w:r>
              <w:t>7</w:t>
            </w:r>
            <w:r>
              <w:fldChar w:fldCharType="end"/>
            </w:r>
          </w:hyperlink>
        </w:p>
        <w:p w14:paraId="08CA4E1F" w14:textId="77777777" w:rsidR="00793432" w:rsidRDefault="00793432">
          <w:pPr>
            <w:pStyle w:val="TOC2"/>
            <w:tabs>
              <w:tab w:val="clear" w:pos="8296"/>
              <w:tab w:val="right" w:leader="dot" w:pos="8312"/>
            </w:tabs>
          </w:pPr>
          <w:hyperlink w:anchor="_Toc14291" w:history="1">
            <w:r>
              <w:rPr>
                <w:rFonts w:eastAsia="黑体"/>
              </w:rPr>
              <w:t>2.3RDKit</w:t>
            </w:r>
            <w:r>
              <w:rPr>
                <w:rFonts w:eastAsia="黑体"/>
              </w:rPr>
              <w:t>与酚类领域特征</w:t>
            </w:r>
            <w:r>
              <w:tab/>
            </w:r>
            <w:r>
              <w:fldChar w:fldCharType="begin"/>
            </w:r>
            <w:r>
              <w:instrText xml:space="preserve"> PAGEREF _Toc14291 \h </w:instrText>
            </w:r>
            <w:r>
              <w:fldChar w:fldCharType="separate"/>
            </w:r>
            <w:r>
              <w:t>7</w:t>
            </w:r>
            <w:r>
              <w:fldChar w:fldCharType="end"/>
            </w:r>
          </w:hyperlink>
        </w:p>
        <w:p w14:paraId="5423B9AD" w14:textId="77777777" w:rsidR="00793432" w:rsidRDefault="00793432">
          <w:pPr>
            <w:pStyle w:val="TOC2"/>
            <w:tabs>
              <w:tab w:val="clear" w:pos="8296"/>
              <w:tab w:val="right" w:leader="dot" w:pos="8312"/>
            </w:tabs>
          </w:pPr>
          <w:hyperlink w:anchor="_Toc10352" w:history="1">
            <w:r>
              <w:rPr>
                <w:rFonts w:eastAsia="黑体"/>
              </w:rPr>
              <w:t>2.4Chemprop</w:t>
            </w:r>
            <w:r>
              <w:rPr>
                <w:rFonts w:eastAsia="黑体"/>
              </w:rPr>
              <w:t>与传统机器学习模型</w:t>
            </w:r>
            <w:r>
              <w:tab/>
            </w:r>
            <w:r>
              <w:fldChar w:fldCharType="begin"/>
            </w:r>
            <w:r>
              <w:instrText xml:space="preserve"> PAGEREF _Toc10352 \h </w:instrText>
            </w:r>
            <w:r>
              <w:fldChar w:fldCharType="separate"/>
            </w:r>
            <w:r>
              <w:t>8</w:t>
            </w:r>
            <w:r>
              <w:fldChar w:fldCharType="end"/>
            </w:r>
          </w:hyperlink>
        </w:p>
        <w:p w14:paraId="79970772" w14:textId="77777777" w:rsidR="00793432" w:rsidRDefault="00793432">
          <w:pPr>
            <w:pStyle w:val="TOC2"/>
            <w:tabs>
              <w:tab w:val="clear" w:pos="8296"/>
              <w:tab w:val="right" w:leader="dot" w:pos="8312"/>
            </w:tabs>
          </w:pPr>
          <w:hyperlink w:anchor="_Toc8558" w:history="1">
            <w:r>
              <w:rPr>
                <w:rFonts w:eastAsia="黑体"/>
              </w:rPr>
              <w:t>2.5</w:t>
            </w:r>
            <w:r>
              <w:rPr>
                <w:rFonts w:eastAsia="黑体"/>
              </w:rPr>
              <w:t>评价指标与小样本评估口径</w:t>
            </w:r>
            <w:r>
              <w:tab/>
            </w:r>
            <w:r>
              <w:fldChar w:fldCharType="begin"/>
            </w:r>
            <w:r>
              <w:instrText xml:space="preserve"> PAGEREF _Toc8558 \h </w:instrText>
            </w:r>
            <w:r>
              <w:fldChar w:fldCharType="separate"/>
            </w:r>
            <w:r>
              <w:t>9</w:t>
            </w:r>
            <w:r>
              <w:fldChar w:fldCharType="end"/>
            </w:r>
          </w:hyperlink>
        </w:p>
        <w:p w14:paraId="3205AC4E" w14:textId="77777777" w:rsidR="00793432" w:rsidRDefault="00793432">
          <w:pPr>
            <w:pStyle w:val="TOC1"/>
            <w:tabs>
              <w:tab w:val="clear" w:pos="8296"/>
              <w:tab w:val="right" w:leader="dot" w:pos="8312"/>
            </w:tabs>
            <w:spacing w:before="163" w:after="163"/>
          </w:pPr>
          <w:hyperlink w:anchor="_Toc21093" w:history="1">
            <w:r>
              <w:rPr>
                <w:rFonts w:eastAsia="黑体"/>
              </w:rPr>
              <w:t>第</w:t>
            </w:r>
            <w:r>
              <w:rPr>
                <w:rFonts w:eastAsia="黑体"/>
              </w:rPr>
              <w:t>3</w:t>
            </w:r>
            <w:r>
              <w:rPr>
                <w:rFonts w:eastAsia="黑体"/>
              </w:rPr>
              <w:t>章数据集构建与特征工程</w:t>
            </w:r>
            <w:r>
              <w:tab/>
            </w:r>
            <w:r>
              <w:fldChar w:fldCharType="begin"/>
            </w:r>
            <w:r>
              <w:instrText xml:space="preserve"> PAGEREF _Toc21093 \h </w:instrText>
            </w:r>
            <w:r>
              <w:fldChar w:fldCharType="separate"/>
            </w:r>
            <w:r>
              <w:t>11</w:t>
            </w:r>
            <w:r>
              <w:fldChar w:fldCharType="end"/>
            </w:r>
          </w:hyperlink>
        </w:p>
        <w:p w14:paraId="1EB00AF9" w14:textId="77777777" w:rsidR="00793432" w:rsidRDefault="00793432">
          <w:pPr>
            <w:pStyle w:val="TOC2"/>
            <w:tabs>
              <w:tab w:val="clear" w:pos="8296"/>
              <w:tab w:val="right" w:leader="dot" w:pos="8312"/>
            </w:tabs>
          </w:pPr>
          <w:hyperlink w:anchor="_Toc13912" w:history="1">
            <w:r>
              <w:rPr>
                <w:rFonts w:eastAsia="黑体"/>
              </w:rPr>
              <w:t>3.1</w:t>
            </w:r>
            <w:r>
              <w:rPr>
                <w:rFonts w:eastAsia="黑体"/>
              </w:rPr>
              <w:t>数据来源与样本整理</w:t>
            </w:r>
            <w:r>
              <w:tab/>
            </w:r>
            <w:r>
              <w:fldChar w:fldCharType="begin"/>
            </w:r>
            <w:r>
              <w:instrText xml:space="preserve"> PAGEREF _Toc13912 \h </w:instrText>
            </w:r>
            <w:r>
              <w:fldChar w:fldCharType="separate"/>
            </w:r>
            <w:r>
              <w:t>11</w:t>
            </w:r>
            <w:r>
              <w:fldChar w:fldCharType="end"/>
            </w:r>
          </w:hyperlink>
        </w:p>
        <w:p w14:paraId="62A1B5BE" w14:textId="77777777" w:rsidR="00793432" w:rsidRDefault="00793432">
          <w:pPr>
            <w:pStyle w:val="TOC2"/>
            <w:tabs>
              <w:tab w:val="clear" w:pos="8296"/>
              <w:tab w:val="right" w:leader="dot" w:pos="8312"/>
            </w:tabs>
          </w:pPr>
          <w:hyperlink w:anchor="_Toc1515" w:history="1">
            <w:r>
              <w:rPr>
                <w:rFonts w:eastAsia="黑体"/>
              </w:rPr>
              <w:t>3.2Gaussian-138</w:t>
            </w:r>
            <w:r>
              <w:rPr>
                <w:rFonts w:eastAsia="黑体"/>
              </w:rPr>
              <w:t>特征矩阵</w:t>
            </w:r>
            <w:r>
              <w:tab/>
            </w:r>
            <w:r>
              <w:fldChar w:fldCharType="begin"/>
            </w:r>
            <w:r>
              <w:instrText xml:space="preserve"> PAGEREF _Toc1515 \h </w:instrText>
            </w:r>
            <w:r>
              <w:fldChar w:fldCharType="separate"/>
            </w:r>
            <w:r>
              <w:t>12</w:t>
            </w:r>
            <w:r>
              <w:fldChar w:fldCharType="end"/>
            </w:r>
          </w:hyperlink>
        </w:p>
        <w:p w14:paraId="70C61835" w14:textId="77777777" w:rsidR="00793432" w:rsidRDefault="00793432">
          <w:pPr>
            <w:pStyle w:val="TOC2"/>
            <w:tabs>
              <w:tab w:val="clear" w:pos="8296"/>
              <w:tab w:val="right" w:leader="dot" w:pos="8312"/>
            </w:tabs>
          </w:pPr>
          <w:hyperlink w:anchor="_Toc17698" w:history="1">
            <w:r>
              <w:rPr>
                <w:rFonts w:eastAsia="黑体"/>
              </w:rPr>
              <w:t>3.3</w:t>
            </w:r>
            <w:r>
              <w:rPr>
                <w:rFonts w:eastAsia="黑体"/>
              </w:rPr>
              <w:t>酚类</w:t>
            </w:r>
            <w:r>
              <w:rPr>
                <w:rFonts w:eastAsia="黑体"/>
              </w:rPr>
              <w:t>SMILES</w:t>
            </w:r>
            <w:r>
              <w:rPr>
                <w:rFonts w:eastAsia="黑体"/>
              </w:rPr>
              <w:t>特征构建</w:t>
            </w:r>
            <w:r>
              <w:tab/>
            </w:r>
            <w:r>
              <w:fldChar w:fldCharType="begin"/>
            </w:r>
            <w:r>
              <w:instrText xml:space="preserve"> PAGEREF _Toc17698 \h </w:instrText>
            </w:r>
            <w:r>
              <w:fldChar w:fldCharType="separate"/>
            </w:r>
            <w:r>
              <w:t>13</w:t>
            </w:r>
            <w:r>
              <w:fldChar w:fldCharType="end"/>
            </w:r>
          </w:hyperlink>
        </w:p>
        <w:p w14:paraId="7A9B8F74" w14:textId="77777777" w:rsidR="00793432" w:rsidRDefault="00793432">
          <w:pPr>
            <w:pStyle w:val="TOC2"/>
            <w:tabs>
              <w:tab w:val="clear" w:pos="8296"/>
              <w:tab w:val="right" w:leader="dot" w:pos="8312"/>
            </w:tabs>
          </w:pPr>
          <w:hyperlink w:anchor="_Toc23832" w:history="1">
            <w:r>
              <w:rPr>
                <w:rFonts w:eastAsia="黑体"/>
              </w:rPr>
              <w:t>3.4Fukui</w:t>
            </w:r>
            <w:r>
              <w:rPr>
                <w:rFonts w:eastAsia="黑体"/>
              </w:rPr>
              <w:t>特征解析与缺失处理</w:t>
            </w:r>
            <w:r>
              <w:tab/>
            </w:r>
            <w:r>
              <w:fldChar w:fldCharType="begin"/>
            </w:r>
            <w:r>
              <w:instrText xml:space="preserve"> PAGEREF _Toc23832 \h </w:instrText>
            </w:r>
            <w:r>
              <w:fldChar w:fldCharType="separate"/>
            </w:r>
            <w:r>
              <w:t>14</w:t>
            </w:r>
            <w:r>
              <w:fldChar w:fldCharType="end"/>
            </w:r>
          </w:hyperlink>
        </w:p>
        <w:p w14:paraId="3CDB4C0D" w14:textId="77777777" w:rsidR="00793432" w:rsidRDefault="00793432">
          <w:pPr>
            <w:pStyle w:val="TOC1"/>
            <w:tabs>
              <w:tab w:val="clear" w:pos="8296"/>
              <w:tab w:val="right" w:leader="dot" w:pos="8312"/>
            </w:tabs>
            <w:spacing w:before="163" w:after="163"/>
          </w:pPr>
          <w:hyperlink w:anchor="_Toc13840" w:history="1">
            <w:r>
              <w:rPr>
                <w:rFonts w:eastAsia="黑体"/>
              </w:rPr>
              <w:t>第</w:t>
            </w:r>
            <w:r>
              <w:rPr>
                <w:rFonts w:eastAsia="黑体"/>
              </w:rPr>
              <w:t>4</w:t>
            </w:r>
            <w:r>
              <w:rPr>
                <w:rFonts w:eastAsia="黑体"/>
              </w:rPr>
              <w:t>章反应位点预测模型构建</w:t>
            </w:r>
            <w:r>
              <w:tab/>
            </w:r>
            <w:r>
              <w:fldChar w:fldCharType="begin"/>
            </w:r>
            <w:r>
              <w:instrText xml:space="preserve"> PAGEREF _Toc13840 \h </w:instrText>
            </w:r>
            <w:r>
              <w:fldChar w:fldCharType="separate"/>
            </w:r>
            <w:r>
              <w:t>17</w:t>
            </w:r>
            <w:r>
              <w:fldChar w:fldCharType="end"/>
            </w:r>
          </w:hyperlink>
        </w:p>
        <w:p w14:paraId="440172C1" w14:textId="77777777" w:rsidR="00793432" w:rsidRDefault="00793432">
          <w:pPr>
            <w:pStyle w:val="TOC2"/>
            <w:tabs>
              <w:tab w:val="clear" w:pos="8296"/>
              <w:tab w:val="right" w:leader="dot" w:pos="8312"/>
            </w:tabs>
          </w:pPr>
          <w:hyperlink w:anchor="_Toc9099" w:history="1">
            <w:r>
              <w:rPr>
                <w:rFonts w:eastAsia="黑体"/>
              </w:rPr>
              <w:t>4.1</w:t>
            </w:r>
            <w:r>
              <w:rPr>
                <w:rFonts w:eastAsia="黑体"/>
              </w:rPr>
              <w:t>实验设计与实现环境</w:t>
            </w:r>
            <w:r>
              <w:tab/>
            </w:r>
            <w:r>
              <w:fldChar w:fldCharType="begin"/>
            </w:r>
            <w:r>
              <w:instrText xml:space="preserve"> PAGEREF _Toc9099 \h </w:instrText>
            </w:r>
            <w:r>
              <w:fldChar w:fldCharType="separate"/>
            </w:r>
            <w:r>
              <w:t>17</w:t>
            </w:r>
            <w:r>
              <w:fldChar w:fldCharType="end"/>
            </w:r>
          </w:hyperlink>
        </w:p>
        <w:p w14:paraId="069C1C66" w14:textId="77777777" w:rsidR="00793432" w:rsidRDefault="00793432">
          <w:pPr>
            <w:pStyle w:val="TOC2"/>
            <w:tabs>
              <w:tab w:val="clear" w:pos="8296"/>
              <w:tab w:val="right" w:leader="dot" w:pos="8312"/>
            </w:tabs>
          </w:pPr>
          <w:hyperlink w:anchor="_Toc8484" w:history="1">
            <w:r>
              <w:rPr>
                <w:rFonts w:eastAsia="黑体"/>
              </w:rPr>
              <w:t>4.2Chemprop</w:t>
            </w:r>
            <w:r>
              <w:rPr>
                <w:rFonts w:eastAsia="黑体"/>
              </w:rPr>
              <w:t>建模流程</w:t>
            </w:r>
            <w:r>
              <w:tab/>
            </w:r>
            <w:r>
              <w:fldChar w:fldCharType="begin"/>
            </w:r>
            <w:r>
              <w:instrText xml:space="preserve"> PAGEREF _Toc8484 \h </w:instrText>
            </w:r>
            <w:r>
              <w:fldChar w:fldCharType="separate"/>
            </w:r>
            <w:r>
              <w:t>17</w:t>
            </w:r>
            <w:r>
              <w:fldChar w:fldCharType="end"/>
            </w:r>
          </w:hyperlink>
        </w:p>
        <w:p w14:paraId="2DFA3711" w14:textId="77777777" w:rsidR="00793432" w:rsidRDefault="00793432">
          <w:pPr>
            <w:pStyle w:val="TOC2"/>
            <w:tabs>
              <w:tab w:val="clear" w:pos="8296"/>
              <w:tab w:val="right" w:leader="dot" w:pos="8312"/>
            </w:tabs>
          </w:pPr>
          <w:hyperlink w:anchor="_Toc2219" w:history="1">
            <w:r>
              <w:rPr>
                <w:rFonts w:eastAsia="黑体"/>
              </w:rPr>
              <w:t>4.3</w:t>
            </w:r>
            <w:r>
              <w:rPr>
                <w:rFonts w:eastAsia="黑体"/>
              </w:rPr>
              <w:t>传统机器学习建模流程</w:t>
            </w:r>
            <w:r>
              <w:tab/>
            </w:r>
            <w:r>
              <w:fldChar w:fldCharType="begin"/>
            </w:r>
            <w:r>
              <w:instrText xml:space="preserve"> PAGEREF _Toc2219 \h </w:instrText>
            </w:r>
            <w:r>
              <w:fldChar w:fldCharType="separate"/>
            </w:r>
            <w:r>
              <w:t>18</w:t>
            </w:r>
            <w:r>
              <w:fldChar w:fldCharType="end"/>
            </w:r>
          </w:hyperlink>
        </w:p>
        <w:p w14:paraId="731F61FC" w14:textId="77777777" w:rsidR="00793432" w:rsidRDefault="00793432">
          <w:pPr>
            <w:pStyle w:val="TOC2"/>
            <w:tabs>
              <w:tab w:val="clear" w:pos="8296"/>
              <w:tab w:val="right" w:leader="dot" w:pos="8312"/>
            </w:tabs>
          </w:pPr>
          <w:hyperlink w:anchor="_Toc22991" w:history="1">
            <w:r>
              <w:rPr>
                <w:rFonts w:eastAsia="黑体"/>
              </w:rPr>
              <w:t>4.4</w:t>
            </w:r>
            <w:r>
              <w:rPr>
                <w:rFonts w:eastAsia="黑体"/>
              </w:rPr>
              <w:t>评价指标设计</w:t>
            </w:r>
            <w:r>
              <w:tab/>
            </w:r>
            <w:r>
              <w:fldChar w:fldCharType="begin"/>
            </w:r>
            <w:r>
              <w:instrText xml:space="preserve"> PAGEREF _Toc22991 \h </w:instrText>
            </w:r>
            <w:r>
              <w:fldChar w:fldCharType="separate"/>
            </w:r>
            <w:r>
              <w:t>19</w:t>
            </w:r>
            <w:r>
              <w:fldChar w:fldCharType="end"/>
            </w:r>
          </w:hyperlink>
        </w:p>
        <w:p w14:paraId="15FF0672" w14:textId="77777777" w:rsidR="00793432" w:rsidRDefault="00793432">
          <w:pPr>
            <w:pStyle w:val="TOC1"/>
            <w:tabs>
              <w:tab w:val="clear" w:pos="8296"/>
              <w:tab w:val="right" w:leader="dot" w:pos="8312"/>
            </w:tabs>
            <w:spacing w:before="163" w:after="163"/>
          </w:pPr>
          <w:hyperlink w:anchor="_Toc5416" w:history="1">
            <w:r>
              <w:rPr>
                <w:rFonts w:eastAsia="黑体"/>
              </w:rPr>
              <w:t>第</w:t>
            </w:r>
            <w:r>
              <w:rPr>
                <w:rFonts w:eastAsia="黑体"/>
              </w:rPr>
              <w:t>5</w:t>
            </w:r>
            <w:r>
              <w:rPr>
                <w:rFonts w:eastAsia="黑体"/>
              </w:rPr>
              <w:t>章实验结果与分析</w:t>
            </w:r>
            <w:r>
              <w:tab/>
            </w:r>
            <w:r>
              <w:fldChar w:fldCharType="begin"/>
            </w:r>
            <w:r>
              <w:instrText xml:space="preserve"> PAGEREF _Toc5416 \h </w:instrText>
            </w:r>
            <w:r>
              <w:fldChar w:fldCharType="separate"/>
            </w:r>
            <w:r>
              <w:t>22</w:t>
            </w:r>
            <w:r>
              <w:fldChar w:fldCharType="end"/>
            </w:r>
          </w:hyperlink>
        </w:p>
        <w:p w14:paraId="73A70DAA" w14:textId="77777777" w:rsidR="00793432" w:rsidRDefault="00793432">
          <w:pPr>
            <w:pStyle w:val="TOC2"/>
            <w:tabs>
              <w:tab w:val="clear" w:pos="8296"/>
              <w:tab w:val="right" w:leader="dot" w:pos="8312"/>
            </w:tabs>
          </w:pPr>
          <w:hyperlink w:anchor="_Toc17661" w:history="1">
            <w:r>
              <w:rPr>
                <w:rFonts w:eastAsia="黑体"/>
              </w:rPr>
              <w:t>5.1Gaussian-138</w:t>
            </w:r>
            <w:r>
              <w:rPr>
                <w:rFonts w:eastAsia="黑体"/>
              </w:rPr>
              <w:t>上</w:t>
            </w:r>
            <w:r>
              <w:rPr>
                <w:rFonts w:eastAsia="黑体"/>
              </w:rPr>
              <w:t>Chemprop</w:t>
            </w:r>
            <w:r>
              <w:rPr>
                <w:rFonts w:eastAsia="黑体"/>
              </w:rPr>
              <w:t>配置对比</w:t>
            </w:r>
            <w:r>
              <w:tab/>
            </w:r>
            <w:r>
              <w:fldChar w:fldCharType="begin"/>
            </w:r>
            <w:r>
              <w:instrText xml:space="preserve"> PAGEREF _Toc17661 \h </w:instrText>
            </w:r>
            <w:r>
              <w:fldChar w:fldCharType="separate"/>
            </w:r>
            <w:r>
              <w:t>22</w:t>
            </w:r>
            <w:r>
              <w:fldChar w:fldCharType="end"/>
            </w:r>
          </w:hyperlink>
        </w:p>
        <w:p w14:paraId="6AC4332F" w14:textId="77777777" w:rsidR="00793432" w:rsidRDefault="00793432">
          <w:pPr>
            <w:pStyle w:val="TOC2"/>
            <w:tabs>
              <w:tab w:val="clear" w:pos="8296"/>
              <w:tab w:val="right" w:leader="dot" w:pos="8312"/>
            </w:tabs>
          </w:pPr>
          <w:hyperlink w:anchor="_Toc1361" w:history="1">
            <w:r>
              <w:rPr>
                <w:rFonts w:eastAsia="黑体"/>
              </w:rPr>
              <w:t>5.2</w:t>
            </w:r>
            <w:r>
              <w:rPr>
                <w:rFonts w:eastAsia="黑体"/>
              </w:rPr>
              <w:t>传统机器学习与</w:t>
            </w:r>
            <w:r>
              <w:rPr>
                <w:rFonts w:eastAsia="黑体"/>
              </w:rPr>
              <w:t>Gaussian</w:t>
            </w:r>
            <w:r>
              <w:rPr>
                <w:rFonts w:eastAsia="黑体"/>
              </w:rPr>
              <w:t>特征对比</w:t>
            </w:r>
            <w:r>
              <w:tab/>
            </w:r>
            <w:r>
              <w:fldChar w:fldCharType="begin"/>
            </w:r>
            <w:r>
              <w:instrText xml:space="preserve"> PAGEREF _Toc1361 \h </w:instrText>
            </w:r>
            <w:r>
              <w:fldChar w:fldCharType="separate"/>
            </w:r>
            <w:r>
              <w:t>23</w:t>
            </w:r>
            <w:r>
              <w:fldChar w:fldCharType="end"/>
            </w:r>
          </w:hyperlink>
        </w:p>
        <w:p w14:paraId="03EC78CE" w14:textId="77777777" w:rsidR="00793432" w:rsidRDefault="00793432">
          <w:pPr>
            <w:pStyle w:val="TOC2"/>
            <w:tabs>
              <w:tab w:val="clear" w:pos="8296"/>
              <w:tab w:val="right" w:leader="dot" w:pos="8312"/>
            </w:tabs>
          </w:pPr>
          <w:hyperlink w:anchor="_Toc13451" w:history="1">
            <w:r>
              <w:rPr>
                <w:rFonts w:eastAsia="黑体"/>
              </w:rPr>
              <w:t>5.3</w:t>
            </w:r>
            <w:r>
              <w:rPr>
                <w:rFonts w:eastAsia="黑体"/>
              </w:rPr>
              <w:t>酚类领域特征与派生电荷特征分析</w:t>
            </w:r>
            <w:r>
              <w:tab/>
            </w:r>
            <w:r>
              <w:fldChar w:fldCharType="begin"/>
            </w:r>
            <w:r>
              <w:instrText xml:space="preserve"> PAGEREF _Toc13451 \h </w:instrText>
            </w:r>
            <w:r>
              <w:fldChar w:fldCharType="separate"/>
            </w:r>
            <w:r>
              <w:t>25</w:t>
            </w:r>
            <w:r>
              <w:fldChar w:fldCharType="end"/>
            </w:r>
          </w:hyperlink>
        </w:p>
        <w:p w14:paraId="21E32B83" w14:textId="77777777" w:rsidR="00793432" w:rsidRDefault="00793432">
          <w:pPr>
            <w:pStyle w:val="TOC2"/>
            <w:tabs>
              <w:tab w:val="clear" w:pos="8296"/>
              <w:tab w:val="right" w:leader="dot" w:pos="8312"/>
            </w:tabs>
          </w:pPr>
          <w:hyperlink w:anchor="_Toc30514" w:history="1">
            <w:r>
              <w:rPr>
                <w:rFonts w:eastAsia="黑体"/>
              </w:rPr>
              <w:t>5.4Fukui</w:t>
            </w:r>
            <w:r>
              <w:rPr>
                <w:rFonts w:eastAsia="黑体"/>
              </w:rPr>
              <w:t>、</w:t>
            </w:r>
            <w:r>
              <w:rPr>
                <w:rFonts w:eastAsia="黑体"/>
              </w:rPr>
              <w:t>NICS</w:t>
            </w:r>
            <w:r>
              <w:rPr>
                <w:rFonts w:eastAsia="黑体"/>
              </w:rPr>
              <w:t>与最终融合</w:t>
            </w:r>
            <w:r>
              <w:tab/>
            </w:r>
            <w:r>
              <w:fldChar w:fldCharType="begin"/>
            </w:r>
            <w:r>
              <w:instrText xml:space="preserve"> PAGEREF _Toc30514 \h </w:instrText>
            </w:r>
            <w:r>
              <w:fldChar w:fldCharType="separate"/>
            </w:r>
            <w:r>
              <w:t>29</w:t>
            </w:r>
            <w:r>
              <w:fldChar w:fldCharType="end"/>
            </w:r>
          </w:hyperlink>
        </w:p>
        <w:p w14:paraId="23090EAB" w14:textId="77777777" w:rsidR="00793432" w:rsidRDefault="00793432">
          <w:pPr>
            <w:pStyle w:val="TOC2"/>
            <w:tabs>
              <w:tab w:val="clear" w:pos="8296"/>
              <w:tab w:val="right" w:leader="dot" w:pos="8312"/>
            </w:tabs>
          </w:pPr>
          <w:hyperlink w:anchor="_Toc7020" w:history="1">
            <w:r>
              <w:rPr>
                <w:rFonts w:eastAsia="黑体"/>
              </w:rPr>
              <w:t>5.5</w:t>
            </w:r>
            <w:r>
              <w:rPr>
                <w:rFonts w:eastAsia="黑体"/>
              </w:rPr>
              <w:t>全量</w:t>
            </w:r>
            <w:r>
              <w:rPr>
                <w:rFonts w:eastAsia="黑体"/>
              </w:rPr>
              <w:t>reaction_site</w:t>
            </w:r>
            <w:r>
              <w:rPr>
                <w:rFonts w:eastAsia="黑体"/>
              </w:rPr>
              <w:t>数据集对照</w:t>
            </w:r>
            <w:r>
              <w:tab/>
            </w:r>
            <w:r>
              <w:fldChar w:fldCharType="begin"/>
            </w:r>
            <w:r>
              <w:instrText xml:space="preserve"> PAGEREF _Toc7020 \h </w:instrText>
            </w:r>
            <w:r>
              <w:fldChar w:fldCharType="separate"/>
            </w:r>
            <w:r>
              <w:t>31</w:t>
            </w:r>
            <w:r>
              <w:fldChar w:fldCharType="end"/>
            </w:r>
          </w:hyperlink>
        </w:p>
        <w:p w14:paraId="2D8473F0" w14:textId="77777777" w:rsidR="00793432" w:rsidRDefault="00793432">
          <w:pPr>
            <w:pStyle w:val="TOC2"/>
            <w:tabs>
              <w:tab w:val="clear" w:pos="8296"/>
              <w:tab w:val="right" w:leader="dot" w:pos="8312"/>
            </w:tabs>
          </w:pPr>
          <w:hyperlink w:anchor="_Toc4768" w:history="1">
            <w:r>
              <w:rPr>
                <w:rFonts w:eastAsia="黑体"/>
              </w:rPr>
              <w:t>5.6</w:t>
            </w:r>
            <w:r>
              <w:rPr>
                <w:rFonts w:eastAsia="黑体"/>
              </w:rPr>
              <w:t>结果讨论</w:t>
            </w:r>
            <w:r>
              <w:tab/>
            </w:r>
            <w:r>
              <w:fldChar w:fldCharType="begin"/>
            </w:r>
            <w:r>
              <w:instrText xml:space="preserve"> PAGEREF _Toc4768 \h </w:instrText>
            </w:r>
            <w:r>
              <w:fldChar w:fldCharType="separate"/>
            </w:r>
            <w:r>
              <w:t>32</w:t>
            </w:r>
            <w:r>
              <w:fldChar w:fldCharType="end"/>
            </w:r>
          </w:hyperlink>
        </w:p>
        <w:p w14:paraId="4D609268" w14:textId="77777777" w:rsidR="00793432" w:rsidRDefault="00793432">
          <w:pPr>
            <w:pStyle w:val="TOC1"/>
            <w:tabs>
              <w:tab w:val="clear" w:pos="8296"/>
              <w:tab w:val="right" w:leader="dot" w:pos="8312"/>
            </w:tabs>
            <w:spacing w:before="163" w:after="163"/>
          </w:pPr>
          <w:hyperlink w:anchor="_Toc18445" w:history="1">
            <w:r>
              <w:rPr>
                <w:rFonts w:eastAsia="黑体"/>
              </w:rPr>
              <w:t>第</w:t>
            </w:r>
            <w:r>
              <w:rPr>
                <w:rFonts w:eastAsia="黑体"/>
              </w:rPr>
              <w:t>6</w:t>
            </w:r>
            <w:r>
              <w:rPr>
                <w:rFonts w:eastAsia="黑体"/>
              </w:rPr>
              <w:t>章结论与展望</w:t>
            </w:r>
            <w:r>
              <w:tab/>
            </w:r>
            <w:r>
              <w:fldChar w:fldCharType="begin"/>
            </w:r>
            <w:r>
              <w:instrText xml:space="preserve"> PAGEREF _Toc18445 \h </w:instrText>
            </w:r>
            <w:r>
              <w:fldChar w:fldCharType="separate"/>
            </w:r>
            <w:r>
              <w:t>34</w:t>
            </w:r>
            <w:r>
              <w:fldChar w:fldCharType="end"/>
            </w:r>
          </w:hyperlink>
        </w:p>
        <w:p w14:paraId="0CDD7FEB" w14:textId="77777777" w:rsidR="00793432" w:rsidRDefault="00793432">
          <w:pPr>
            <w:pStyle w:val="TOC2"/>
            <w:tabs>
              <w:tab w:val="clear" w:pos="8296"/>
              <w:tab w:val="right" w:leader="dot" w:pos="8312"/>
            </w:tabs>
          </w:pPr>
          <w:hyperlink w:anchor="_Toc17047" w:history="1">
            <w:r>
              <w:rPr>
                <w:rFonts w:eastAsia="黑体"/>
              </w:rPr>
              <w:t>6.1</w:t>
            </w:r>
            <w:r>
              <w:rPr>
                <w:rFonts w:eastAsia="黑体"/>
              </w:rPr>
              <w:t>主要结论</w:t>
            </w:r>
            <w:r>
              <w:tab/>
            </w:r>
            <w:r>
              <w:fldChar w:fldCharType="begin"/>
            </w:r>
            <w:r>
              <w:instrText xml:space="preserve"> PAGEREF _Toc17047 \h </w:instrText>
            </w:r>
            <w:r>
              <w:fldChar w:fldCharType="separate"/>
            </w:r>
            <w:r>
              <w:t>34</w:t>
            </w:r>
            <w:r>
              <w:fldChar w:fldCharType="end"/>
            </w:r>
          </w:hyperlink>
        </w:p>
        <w:p w14:paraId="28810F92" w14:textId="77777777" w:rsidR="00793432" w:rsidRDefault="00793432">
          <w:pPr>
            <w:pStyle w:val="TOC2"/>
            <w:tabs>
              <w:tab w:val="clear" w:pos="8296"/>
              <w:tab w:val="right" w:leader="dot" w:pos="8312"/>
            </w:tabs>
          </w:pPr>
          <w:hyperlink w:anchor="_Toc32437" w:history="1">
            <w:r>
              <w:rPr>
                <w:rFonts w:eastAsia="黑体"/>
              </w:rPr>
              <w:t>6.2</w:t>
            </w:r>
            <w:r>
              <w:rPr>
                <w:rFonts w:eastAsia="黑体"/>
              </w:rPr>
              <w:t>不足与展望</w:t>
            </w:r>
            <w:r>
              <w:tab/>
            </w:r>
            <w:r>
              <w:fldChar w:fldCharType="begin"/>
            </w:r>
            <w:r>
              <w:instrText xml:space="preserve"> PAGEREF _Toc32437 \h </w:instrText>
            </w:r>
            <w:r>
              <w:fldChar w:fldCharType="separate"/>
            </w:r>
            <w:r>
              <w:t>35</w:t>
            </w:r>
            <w:r>
              <w:fldChar w:fldCharType="end"/>
            </w:r>
          </w:hyperlink>
        </w:p>
        <w:p w14:paraId="7A3F2C87" w14:textId="77777777" w:rsidR="00793432" w:rsidRDefault="00793432">
          <w:pPr>
            <w:pStyle w:val="TOC1"/>
            <w:tabs>
              <w:tab w:val="clear" w:pos="8296"/>
              <w:tab w:val="right" w:leader="dot" w:pos="8312"/>
            </w:tabs>
            <w:spacing w:before="163" w:after="163"/>
          </w:pPr>
          <w:hyperlink w:anchor="_Toc4760" w:history="1">
            <w:r>
              <w:rPr>
                <w:rFonts w:eastAsia="黑体"/>
              </w:rPr>
              <w:t>参考文献</w:t>
            </w:r>
            <w:r>
              <w:tab/>
            </w:r>
            <w:r>
              <w:fldChar w:fldCharType="begin"/>
            </w:r>
            <w:r>
              <w:instrText xml:space="preserve"> PAGEREF _Toc4760 \h </w:instrText>
            </w:r>
            <w:r>
              <w:fldChar w:fldCharType="separate"/>
            </w:r>
            <w:r>
              <w:t>38</w:t>
            </w:r>
            <w:r>
              <w:fldChar w:fldCharType="end"/>
            </w:r>
          </w:hyperlink>
        </w:p>
        <w:p w14:paraId="649C24BC" w14:textId="77777777" w:rsidR="00793432" w:rsidRDefault="00793432">
          <w:pPr>
            <w:pStyle w:val="TOC1"/>
            <w:tabs>
              <w:tab w:val="clear" w:pos="8296"/>
              <w:tab w:val="right" w:leader="dot" w:pos="8312"/>
            </w:tabs>
            <w:spacing w:before="163" w:after="163"/>
          </w:pPr>
          <w:hyperlink w:anchor="_Toc23532" w:history="1">
            <w:r>
              <w:rPr>
                <w:rFonts w:eastAsia="黑体"/>
              </w:rPr>
              <w:t>致谢</w:t>
            </w:r>
            <w:r>
              <w:tab/>
            </w:r>
            <w:r>
              <w:fldChar w:fldCharType="begin"/>
            </w:r>
            <w:r>
              <w:instrText xml:space="preserve"> PAGEREF _Toc23532 \h </w:instrText>
            </w:r>
            <w:r>
              <w:fldChar w:fldCharType="separate"/>
            </w:r>
            <w:r>
              <w:t>41</w:t>
            </w:r>
            <w:r>
              <w:fldChar w:fldCharType="end"/>
            </w:r>
          </w:hyperlink>
        </w:p>
        <w:p w14:paraId="553A3D80" w14:textId="77777777" w:rsidR="00793432" w:rsidRDefault="00000000">
          <w:pPr>
            <w:spacing w:line="400" w:lineRule="atLeast"/>
            <w:ind w:firstLineChars="0" w:firstLine="0"/>
            <w:sectPr w:rsidR="00793432">
              <w:headerReference w:type="default" r:id="rId21"/>
              <w:footerReference w:type="default" r:id="rId22"/>
              <w:headerReference w:type="first" r:id="rId23"/>
              <w:pgSz w:w="11906" w:h="16838"/>
              <w:pgMar w:top="1440" w:right="1797" w:bottom="1440" w:left="1797" w:header="850" w:footer="992" w:gutter="0"/>
              <w:cols w:space="425"/>
              <w:titlePg/>
              <w:docGrid w:type="lines" w:linePitch="326"/>
            </w:sectPr>
          </w:pPr>
          <w:r>
            <w:rPr>
              <w:rFonts w:ascii="宋体" w:hAnsi="宋体" w:cs="宋体" w:hint="eastAsia"/>
            </w:rPr>
            <w:fldChar w:fldCharType="end"/>
          </w:r>
        </w:p>
      </w:sdtContent>
    </w:sdt>
    <w:p w14:paraId="36564559" w14:textId="77777777" w:rsidR="00793432" w:rsidRDefault="00000000">
      <w:pPr>
        <w:pStyle w:val="1"/>
        <w:spacing w:line="360" w:lineRule="auto"/>
        <w:ind w:firstLine="643"/>
      </w:pPr>
      <w:bookmarkStart w:id="0" w:name="_Toc29937"/>
      <w:r>
        <w:lastRenderedPageBreak/>
        <w:t>第</w:t>
      </w:r>
      <w:r>
        <w:t>1</w:t>
      </w:r>
      <w:r>
        <w:t>章绪论</w:t>
      </w:r>
      <w:bookmarkEnd w:id="0"/>
    </w:p>
    <w:p w14:paraId="26AF25C0" w14:textId="77777777" w:rsidR="00793432" w:rsidRDefault="00000000">
      <w:pPr>
        <w:pStyle w:val="2"/>
        <w:spacing w:line="360" w:lineRule="auto"/>
        <w:ind w:firstLine="562"/>
      </w:pPr>
      <w:bookmarkStart w:id="1" w:name="_Toc27287"/>
      <w:r>
        <w:t>1.1</w:t>
      </w:r>
      <w:r>
        <w:t>研究背景</w:t>
      </w:r>
      <w:bookmarkEnd w:id="1"/>
    </w:p>
    <w:p w14:paraId="2847F5FE" w14:textId="1E4BFE2F" w:rsidR="00793432" w:rsidRDefault="00000000">
      <w:r>
        <w:t>酚类污染物含苯环与酚羟基结构，在生物质燃烧、化石燃料燃烧、工业废水排放与天然有机物降解过程中均有显著来源。相较烃类，酚类化合物具有更强的电子给受效应与更复杂的取代基环境，进入大气或水体后易参与自由基氧化，并衍生出二次有机气溶胶前体与难降解水溶性产物</w:t>
      </w:r>
      <w:r>
        <w:fldChar w:fldCharType="begin"/>
      </w:r>
      <w:r>
        <w:instrText xml:space="preserve"> ADDIN ZOTERO_ITEM CSL_CITATION {"citationID":"P61hkQq7","properties":{"formattedCitation":"\\super [1\\uc0\\u8211{}3]\\nosupersub{}","plainCitation":"[1–3]","noteIndex":0},"citationItems":[{"id":46,"uris":["http://zotero.org/users/20482611/items/22S77AKU"],"itemData":{"id":46,"type":"webpage","citation-key":"DetailedKineticStudy","title":"Detailed kinetic study of anisole pyrolysis and oxidation to understand tar formation during biomass combustion and gasification - ScienceDirect","URL":"https://www.sciencedirect.com/science/article/pii/S0010218013004379","accessed":{"date-parts":[["2026",5,30]]}}},{"id":48,"uris":["http://zotero.org/users/20482611/items/MLUUHZHZ"],"itemData":{"id":48,"type":"webpage","citation-key":"TheoreticalInvestigationMechanisms","title":"Theoretical investigation on the mechanisms and kinetics of OH/NO3-initiated atmospheric oxidation of vanillin and vanillic acid - ScienceDirect","URL":"https://www.sciencedirect.com/science/article/abs/pii/S0045653521030162","accessed":{"date-pa</w:instrText>
      </w:r>
      <w:r>
        <w:rPr>
          <w:rFonts w:hint="eastAsia"/>
        </w:rPr>
        <w:instrText>rts":[["2026",5,30]]}}},{"id":49,"uris":["http://zotero.org/users/20482611/items/62ZVBQEF"],"itemData":{"id":49,"type":"webpage","citation-key":"QiRongXiaoShuiXiangZhongYuChuangMuFenHeXiangCaoQuanDeGuangHuaXueZhuanHuaJiZhiZhongGuoZhiWang","title":"</w:instrText>
      </w:r>
      <w:r>
        <w:rPr>
          <w:rFonts w:hint="eastAsia"/>
        </w:rPr>
        <w:instrText>气溶胶水相中愈创木酚和香草醛的光化学转化机制</w:instrText>
      </w:r>
      <w:r>
        <w:rPr>
          <w:rFonts w:hint="eastAsia"/>
        </w:rPr>
        <w:instrText xml:space="preserve"> - </w:instrText>
      </w:r>
      <w:r>
        <w:rPr>
          <w:rFonts w:hint="eastAsia"/>
        </w:rPr>
        <w:instrText>中国知网</w:instrText>
      </w:r>
      <w:r>
        <w:rPr>
          <w:rFonts w:hint="eastAsia"/>
        </w:rPr>
        <w:instrText>","URL":"https://kns.cnki.net/kcms2/article/abstract?v=VfSiRbMmQk2vTEx_SLvxJbnd7tSwt8AJysL5dfy6Jc6WlbVVgY2uXDbTG4dQDjlNy0hKltsxhErX7tnHqiPNnCPyvdNFm67RNfnFongOEyoGLh93zh5FfaLKKFNmpDzS-f7xu6F0GD7U-8Y5YLL41Dm9kbiVcsVdSXOZRvc5X2B-Ug4Pzp</w:instrText>
      </w:r>
      <w:r>
        <w:instrText xml:space="preserve">7XRtrYkX2w1lpJ&amp;uniplatform=NZKPT&amp;language=CHS","accessed":{"date-parts":[["2026",5,30]]}}}],"schema":"https://github.com/citation-style-language/schema/raw/master/csl-citation.json"} </w:instrText>
      </w:r>
      <w:r>
        <w:fldChar w:fldCharType="separate"/>
      </w:r>
      <w:r w:rsidR="00820675" w:rsidRPr="00820675">
        <w:rPr>
          <w:rFonts w:cs="Times New Roman"/>
          <w:kern w:val="0"/>
          <w:vertAlign w:val="superscript"/>
        </w:rPr>
        <w:t>[1–3]</w:t>
      </w:r>
      <w:r>
        <w:fldChar w:fldCharType="end"/>
      </w:r>
      <w:r>
        <w:rPr>
          <w:rFonts w:hint="eastAsia"/>
        </w:rPr>
        <w:t>。</w:t>
      </w:r>
      <w:r>
        <w:t>芳香环上不同位置的电子密度与空间位阻随取代基模式发生变化，因此酚类污染物的自由基反应通常呈现明显的位点选择性</w:t>
      </w:r>
      <w:r>
        <w:fldChar w:fldCharType="begin"/>
      </w:r>
      <w:r>
        <w:instrText xml:space="preserve"> ADDIN ZOTERO_ITEM CSL_CITATION {"citationID":"wrAZ7gxg","properties":{"formattedCitation":"\\super [4]\\nosupersub{}","plainCitation":"[4]","noteIndex":0},"citationItems":[{"id":63,"uris":["http://zotero.org/users/20482611/items/GYDLAQRV"],"itemData":{"id":63,"type":"webpage","citation-key":"AtmosphericChemistryVOCs","title":"Atmospheric chemistry of VOCs and NOx - ScienceDirect","URL":"https://www.sciencedirect.com/science/article/abs/pii/S1352231099004604","accessed":{"date-parts":[["2026",5,30]]}}}],"schema":"https://github.com/citation-style-language/schema/raw/master/csl-citation.json"} </w:instrText>
      </w:r>
      <w:r>
        <w:fldChar w:fldCharType="separate"/>
      </w:r>
      <w:r w:rsidR="00820675" w:rsidRPr="00820675">
        <w:rPr>
          <w:rFonts w:cs="Times New Roman"/>
          <w:kern w:val="0"/>
          <w:vertAlign w:val="superscript"/>
        </w:rPr>
        <w:t>[4]</w:t>
      </w:r>
      <w:r>
        <w:fldChar w:fldCharType="end"/>
      </w:r>
      <w:r>
        <w:t>。</w:t>
      </w:r>
    </w:p>
    <w:p w14:paraId="6BB4D070" w14:textId="0BB683BA" w:rsidR="00793432" w:rsidRDefault="00000000">
      <w:r>
        <w:t>在环境化学研究中，识别污染物分子的关键反应位点具有重要意义。一方面，关键位点决定了污染物在自由基作用下的初始转化路径，进而影响中间体、产物分布与毒性演化；另一方面，关键位点预测亦可服务于污染物筛查与反应活性排序，为高通量环境风险评价提供辅助依据</w:t>
      </w:r>
      <w:r>
        <w:fldChar w:fldCharType="begin"/>
      </w:r>
      <w:r>
        <w:instrText xml:space="preserve"> ADDIN ZOTERO_ITEM CSL_CITATION {"citationID":"qPg5X0ex","properties":{"formattedCitation":"\\super [5,6]\\nosupersub{}","plainCitation":"[5,6]","noteIndex":0},"citationItems":[{"id":74,"uris":["http://zotero.org/users/20482611/items/MTFXCQ2J"],"itemData":{"id":74,"type":"webpage","citation-key":"ScreeningToxicTransformation","title":"Screening toxic transformation products of emerging pollutants in advanced oxidation processes with 3D deep learning and in vitro assays - ScienceDirect","URL":"https://www.sciencedirect.com/science/article/pii/S0043135426001818","accessed":{"date-parts":[["2026",5,30]]}}},{"id":80,"uris":["http://zotero.org/users/20482611/items/DJJR2APC"],"itemData":{"id":80,"type":"webpage","citation-key":"ExplainableMachineLearning","title":"Explainable machine learning reveals how molecular descriptors govern micropollutant degradation in UV/H2O2 oxidation - ScienceDirect","URL":"https://www.sciencedirect.com/science/article/pii/S0043135426004781","accessed":{"date-parts":[["2026",5,30]]}}}],"schema":"https://github.com/citation-style-language/schema/raw/master/csl-citation.json"} </w:instrText>
      </w:r>
      <w:r>
        <w:fldChar w:fldCharType="separate"/>
      </w:r>
      <w:r w:rsidR="00820675" w:rsidRPr="00820675">
        <w:rPr>
          <w:rFonts w:cs="Times New Roman"/>
          <w:kern w:val="0"/>
          <w:vertAlign w:val="superscript"/>
        </w:rPr>
        <w:t>[5,6]</w:t>
      </w:r>
      <w:r>
        <w:fldChar w:fldCharType="end"/>
      </w:r>
      <w:r>
        <w:t>。传统研究依赖实验产物鉴定、量子化学反应路径搜索与动力学计算，方法解释性强，但面对结构相近且数量庞大的候选污染物时，计算开销较大。</w:t>
      </w:r>
    </w:p>
    <w:p w14:paraId="12AD3740" w14:textId="09781AF3" w:rsidR="00793432" w:rsidRDefault="00000000">
      <w:r>
        <w:t>近年来，机器学习方法在分子性质预测与反应位点识别中得到广泛应用。图神经网络可在分子图上学习原子与键的局部表示，天然支持</w:t>
      </w:r>
      <w:r>
        <w:t>C</w:t>
      </w:r>
      <w:r>
        <w:t>、</w:t>
      </w:r>
      <w:r>
        <w:t>O</w:t>
      </w:r>
      <w:r>
        <w:t>、</w:t>
      </w:r>
      <w:r>
        <w:t>N</w:t>
      </w:r>
      <w:r>
        <w:t>、卤素、</w:t>
      </w:r>
      <w:r>
        <w:t>S</w:t>
      </w:r>
      <w:r>
        <w:t>等多元素体系的统一建模</w:t>
      </w:r>
      <w:r>
        <w:fldChar w:fldCharType="begin"/>
      </w:r>
      <w:r>
        <w:instrText xml:space="preserve"> ADDIN ZOTERO_ITEM CSL_CITATION {"citationID":"ccTTGfEK","properties":{"formattedCitation":"\\super [7]\\nosupersub{}","plainCitation":"[7]","noteIndex":0},"citationItems":[{"id":51,"uris":["http://zotero.org/users/20482611/items/JN2KYCJ9"],"itemData":{"id":51,"type":"webpage","citation-key":"AnalyzingLearnedMolecular","title":"Analyzing Learned Molecular Representations for Property Prediction | Journal of Chemical Information and Modeling","URL":"https://pubs.acs.org/doi/full/10.1021/acs.jcim.9b00237","accessed":{"date-parts":[["2026",5,30]]}}}],"schema":"https://github.com/citation-style-language/schema/raw/master/csl-citation.json"} </w:instrText>
      </w:r>
      <w:r>
        <w:fldChar w:fldCharType="separate"/>
      </w:r>
      <w:r w:rsidR="00820675" w:rsidRPr="00820675">
        <w:rPr>
          <w:rFonts w:cs="Times New Roman"/>
          <w:kern w:val="0"/>
          <w:vertAlign w:val="superscript"/>
        </w:rPr>
        <w:t>[7]</w:t>
      </w:r>
      <w:r>
        <w:fldChar w:fldCharType="end"/>
      </w:r>
      <w:r>
        <w:t>；传统机器学习模型则可借助人工构造的结构、电子结构与领域特征，在小样本任务中保持较高的稳定性与可解释性。面对酚类污染物的高通量风险管控需求，单纯依靠深度模型可能受</w:t>
      </w:r>
      <w:r>
        <w:t>Gaussian</w:t>
      </w:r>
      <w:r>
        <w:t>样本规模限制，单纯依赖描述符则会损失分子图整体信息；因此，建立兼具预测精度、可解释性与计算可控性的混合方案具有现实意义</w:t>
      </w:r>
      <w:r>
        <w:fldChar w:fldCharType="begin"/>
      </w:r>
      <w:r>
        <w:instrText xml:space="preserve"> ADDIN ZOTERO_ITEM CSL_CITATION {"citationID":"2LwZb67c","properties":{"formattedCitation":"\\super [8,9]\\nosupersub{}","plainCitation":"[8,9]","noteIndex":0},"citationItems":[{"id":67,"uris":["http://zotero.org/users/20482611/items/2CMZ6UJM"],"itemData":{"id":67,"type":"webpage","citation-key":"PredictionOrganicReaction","title":"Prediction of Organic Reaction Outcomes Using Machine Learning | ACS Central Science","URL":"https://pubs.acs.org/doi/full/10.1021/acscentsci.7b00064","accessed":{"date-parts":[["2026",5,30]]}}},{"id":78,"uris":["http://zotero.org/users/20482611/items/TCSPXFTY"],"itemData":{"id":78,"type":"webpage","citation-key":"QuantumChemistryaugmentedNeural","title":"Quantum chemistry-augmented neural networks for reactivity prediction: Performance, generalizability, and explainability | The Journal of Chemical Physics | AIP Publishing","URL":"https://pubs.aip.org/aip/jcp/article/156/8/084104/2840771","accessed":{"date-parts":[["2026",5,30]]}}}],"schema":"https://github.com/citation-style-language/schema/raw/master/csl-citation.json"} </w:instrText>
      </w:r>
      <w:r>
        <w:fldChar w:fldCharType="separate"/>
      </w:r>
      <w:r w:rsidR="00820675" w:rsidRPr="00820675">
        <w:rPr>
          <w:rFonts w:cs="Times New Roman"/>
          <w:kern w:val="0"/>
          <w:vertAlign w:val="superscript"/>
        </w:rPr>
        <w:t>[8,9]</w:t>
      </w:r>
      <w:r>
        <w:fldChar w:fldCharType="end"/>
      </w:r>
      <w:r>
        <w:t>。</w:t>
      </w:r>
    </w:p>
    <w:p w14:paraId="1A2D4EB8" w14:textId="77777777" w:rsidR="00793432" w:rsidRDefault="00000000">
      <w:r>
        <w:t>在这一背景下，本文将量子化学描述符与机器学习反应位点预测相结合，研究对象由单一香草醛反应机理扩展为一组酚类及相关芳香污染物，研究重点由逐分子反应路径解析转向原子级反应活性筛选。这种转变既保留了电子结构信息的机理基础，也提高了面向高通量环境风险评价的可计算性。</w:t>
      </w:r>
    </w:p>
    <w:p w14:paraId="5731B2B9" w14:textId="77777777" w:rsidR="00793432" w:rsidRDefault="00000000">
      <w:r>
        <w:t>在本课题的具体背景下，酚类污染物涵盖苯酚、甲基酚、卤代酚、硝基酚、甲氧基酚、香兰素衍生物及多羟基取代芳香化合物。此类化合物大量存在于生物质燃烧产物、化石燃料燃烧排放及煤化工与精细化工废水中，常以二次有机气溶</w:t>
      </w:r>
      <w:r>
        <w:lastRenderedPageBreak/>
        <w:t>胶前体物或难降解水溶性有机物的形式进入大气与水环境，并表现出显著的生态毒性、生物累积性与环境持久性。在常见高级氧化体系中，羟基自由基、硫酸根自由基与氯自由基对酚类化合物的攻击行为常呈现位点选择性，邻位、对位及取代基附近原子在氢抽提、自由基加成与单电子氧化等反应通道下可能展现出差异显著的反应性。因此，酚类污染物反应位点识别既是降解机理研究的核心问题，也是水处理与大气化学风险评估中的关键环节。</w:t>
      </w:r>
    </w:p>
    <w:p w14:paraId="28A240CB" w14:textId="77C85C57" w:rsidR="00793432" w:rsidRDefault="00000000">
      <w:r>
        <w:t>传统研究路径侧重于单分子层面的反应路径搜索，常借助密度泛函理论计算反应物、过渡态、中间体与产物的能量曲面，并结合</w:t>
      </w:r>
      <w:r>
        <w:t xml:space="preserve"> Eyring </w:t>
      </w:r>
      <w:r>
        <w:t>公式或</w:t>
      </w:r>
      <w:r>
        <w:t xml:space="preserve"> RRKM </w:t>
      </w:r>
      <w:r>
        <w:t>理论估算速率常数。该方法在阐释反应机理方面具有较强解释力，但对每个待研究分子均需重新进行构型优化、过渡态搜索与频率分析</w:t>
      </w:r>
      <w:r>
        <w:fldChar w:fldCharType="begin"/>
      </w:r>
      <w:r>
        <w:instrText xml:space="preserve"> ADDIN ZOTERO_ITEM CSL_CITATION {"citationID":"mAOKp9M1","properties":{"formattedCitation":"\\super [2,10]\\nosupersub{}","plainCitation":"[2,10]","noteIndex":0},"citationItems":[{"id":48,"uris":["http://zotero.org/users/20482611/items/MLUUHZHZ"],"itemData":{"id":48,"type":"webpage","citation-key":"TheoreticalInvestigationMechanisms","title":"Theoretical investigation on the mechanisms and kinetics of OH/NO3-initiated atmospheric oxidation of vanillin and vanillic acid - ScienceDirect","URL":"https://www.sciencedirect.com/science/article/abs/pii/S0045653521030162","accessed":{"date-parts":[["2026",5,30]]}}},{"id":60,"uris":["http://zotero.org/users/20482611/items/TWTNVJPH"],"itemData":{"id":60,"type":"article-journal","citation-key":"zhaoM06SuiteDensity2008","container-title":"Theoretical chemistry accounts","issue":"1","note":"ISBN: 1432-881X","page":"215-241","publisher":"Springer","title":"The M06 suite of density functionals for main group thermochemistry, thermochemical kinetics, noncovalent interactions, excited states, and transition elements: two new functionals and systematic testing of four M06-class functionals and 12 other functionals","volume":"120","author":[{"family":"Zhao","given":"Yan"},{"family":"Truhlar","given":"Donald G."}],"issued":{"date-parts":[["2008"]]}}}],"schema":"https://github.com/citation-style-language/schema/raw/master/csl-citation.json"} </w:instrText>
      </w:r>
      <w:r>
        <w:fldChar w:fldCharType="separate"/>
      </w:r>
      <w:r w:rsidR="00820675" w:rsidRPr="00820675">
        <w:rPr>
          <w:rFonts w:cs="Times New Roman"/>
          <w:kern w:val="0"/>
          <w:vertAlign w:val="superscript"/>
        </w:rPr>
        <w:t>[2,10]</w:t>
      </w:r>
      <w:r>
        <w:fldChar w:fldCharType="end"/>
      </w:r>
      <w:r>
        <w:t>；对于结构相似但取代基模式不同的酚类污染物体系，计算开销较大、普适性受限。现有研究表明，针对结构复杂或数量较多的污染物体系，仅依赖实验或量子化学路径搜索难以高效识别反应活性位点并估算反应动力学参数</w:t>
      </w:r>
      <w:r>
        <w:fldChar w:fldCharType="begin"/>
      </w:r>
      <w:r>
        <w:instrText xml:space="preserve"> ADDIN ZOTERO_ITEM CSL_CITATION {"citationID":"tDmwJvpd","properties":{"formattedCitation":"\\super [11]\\nosupersub{}","plainCitation":"[11]","noteIndex":0},"citationItems":[{"id":64,"uris":["http://zotero.org/users/20482611/items/FABRM8IR"],"itemData":{"id":64,"type":"webpage","citation-key":"AtmosphericOxidationMechanism","title":"Atmospheric Oxidation Mechanism of Phenol Initiated by OH Radical | The Journal of Physical Chemistry A","URL":"https://pubs.acs.org/doi/abs/10.1021/jp308856b","accessed":{"date-parts":[["2026",5,30]]}}}],"schema":"https://github.com/citation-style-language/schema/raw/master/csl-citation.json"} </w:instrText>
      </w:r>
      <w:r>
        <w:fldChar w:fldCharType="separate"/>
      </w:r>
      <w:r w:rsidR="00820675" w:rsidRPr="00820675">
        <w:rPr>
          <w:rFonts w:cs="Times New Roman"/>
          <w:kern w:val="0"/>
          <w:vertAlign w:val="superscript"/>
        </w:rPr>
        <w:t>[11]</w:t>
      </w:r>
      <w:r>
        <w:fldChar w:fldCharType="end"/>
      </w:r>
      <w:r>
        <w:t>。</w:t>
      </w:r>
    </w:p>
    <w:p w14:paraId="739C8090" w14:textId="77777777" w:rsidR="00793432" w:rsidRDefault="00000000">
      <w:r>
        <w:t>围绕上述问题，本文将研究目标聚焦为四点：其一，构建具有量子化学依据的酚类污染物反应位点数据集；其二，在原子级二分类口径下系统比较图神经网络与五种传统机器学习模型的预测性能；其三，通过十四组特征组合消融，量化结构特征、</w:t>
      </w:r>
      <w:r>
        <w:t>Gaussian</w:t>
      </w:r>
      <w:r>
        <w:t>电荷、酚类领域特征、</w:t>
      </w:r>
      <w:r>
        <w:t>Fukui</w:t>
      </w:r>
      <w:r>
        <w:t>指数与</w:t>
      </w:r>
      <w:r>
        <w:t>NICS</w:t>
      </w:r>
      <w:r>
        <w:t>芳香性描述符的独立贡献和协同关系；其四，在大规模反应位点数据上设置结构特征对照，讨论模型性能与数据规模、描述符类型之间的关系。</w:t>
      </w:r>
    </w:p>
    <w:p w14:paraId="55FD05D4" w14:textId="77777777" w:rsidR="00793432" w:rsidRDefault="00000000">
      <w:pPr>
        <w:pStyle w:val="2"/>
        <w:spacing w:line="360" w:lineRule="auto"/>
        <w:ind w:firstLine="562"/>
      </w:pPr>
      <w:bookmarkStart w:id="2" w:name="_Toc12903"/>
      <w:r>
        <w:t>1.2</w:t>
      </w:r>
      <w:r>
        <w:t>国内外研究现状</w:t>
      </w:r>
      <w:bookmarkEnd w:id="2"/>
    </w:p>
    <w:p w14:paraId="66D5770C" w14:textId="006B7072" w:rsidR="00793432" w:rsidRDefault="00000000">
      <w:r>
        <w:t>大气有机污染物氧化研究长期关注羟基自由基、硝酸根自由基、臭氧及卤素自由基等活性物种对芳香化合物的攻击路径。对于甲氧基苯酚、香草醛、愈创木酚等生物质燃烧示踪物，已有研究多通过密度泛函理论计算氢抽提、自由基加成及后续开环反应的热力学与动力学特征</w:t>
      </w:r>
      <w:r>
        <w:fldChar w:fldCharType="begin"/>
      </w:r>
      <w:r>
        <w:instrText xml:space="preserve"> ADDIN ZOTERO_ITEM CSL_CITATION {"citationID":"dpxRsmgF","properties":{"formattedCitation":"\\super [1\\uc0\\u8211{}3]\\nosupersub{}","plainCitation":"[1–3]","noteIndex":0},"citationItems":[{"id":46,"uris":["http://zotero.org/users/20482611/items/22S77AKU"],"itemData":{"id":46,"type":"webpage","citation-key":"DetailedKineticStudy","title":"Detailed kinetic study of anisole pyrolysis and oxidation to understand tar formation during biomass combustion and gasification - ScienceDirect","URL":"https://www.sciencedirect.com/science/article/pii/S0010218013004379","accessed":{"date-parts":[["2026",5,30]]}}},{"id":48,"uris":["http://zotero.org/users/20482611/items/MLUUHZHZ"],"itemData":{"id":48,"type":"webpage","citation-key":"TheoreticalInvestigationMechanisms","title":"Theoretical investigation on the mechanisms and kinetics of OH/NO3-initiated atmospheric oxidation of vanillin and vanillic acid - ScienceDirect","URL":"https://www.sciencedirect.com/science/article/abs/pii/S0045653521030162","accessed":{"date-pa</w:instrText>
      </w:r>
      <w:r>
        <w:rPr>
          <w:rFonts w:hint="eastAsia"/>
        </w:rPr>
        <w:instrText>rts":[["2026",5,30]]}}},{"id":49,"uris":["http://zotero.org/users/20482611/items/62ZVBQEF"],"itemData":{"id":49,"type":"webpage","citation-key":"QiRongXiaoShuiXiangZhongYuChuangMuFenHeXiangCaoQuanDeGuangHuaXueZhuanHuaJiZhiZhongGuoZhiWang","title":"</w:instrText>
      </w:r>
      <w:r>
        <w:rPr>
          <w:rFonts w:hint="eastAsia"/>
        </w:rPr>
        <w:instrText>气溶胶水相中愈创木酚和香草醛的光化学转化机制</w:instrText>
      </w:r>
      <w:r>
        <w:rPr>
          <w:rFonts w:hint="eastAsia"/>
        </w:rPr>
        <w:instrText xml:space="preserve"> - </w:instrText>
      </w:r>
      <w:r>
        <w:rPr>
          <w:rFonts w:hint="eastAsia"/>
        </w:rPr>
        <w:instrText>中国知网</w:instrText>
      </w:r>
      <w:r>
        <w:rPr>
          <w:rFonts w:hint="eastAsia"/>
        </w:rPr>
        <w:instrText>","URL":"https://kns.cnki.net/kcms2/article/abstract?v=VfSiRbMmQk2vTEx_SLvxJbnd7tSwt8AJysL5dfy6Jc6WlbVVgY2uXDbTG4dQDjlNy0hKltsxhErX7tnHqiPNnCPyvdNFm67RNfnFongOEyoGLh93zh5FfaLKKFNmpDzS-f7xu6F0GD7U-8Y5YLL41Dm9kbiVcsVdSXOZRvc5X2B-Ug4Pzp</w:instrText>
      </w:r>
      <w:r>
        <w:instrText xml:space="preserve">7XRtrYkX2w1lpJ&amp;uniplatform=NZKPT&amp;language=CHS","accessed":{"date-parts":[["2026",5,30]]}}}],"schema":"https://github.com/citation-style-language/schema/raw/master/csl-citation.json"} </w:instrText>
      </w:r>
      <w:r>
        <w:fldChar w:fldCharType="separate"/>
      </w:r>
      <w:r w:rsidR="00820675" w:rsidRPr="00820675">
        <w:rPr>
          <w:rFonts w:cs="Times New Roman"/>
          <w:kern w:val="0"/>
          <w:vertAlign w:val="superscript"/>
        </w:rPr>
        <w:t>[1–3]</w:t>
      </w:r>
      <w:r>
        <w:fldChar w:fldCharType="end"/>
      </w:r>
      <w:r>
        <w:t>。此类研究可阐明单分子的降解与归趋路径，但在面对大量结构相近污染物时，需重复进行构型优化、过渡态搜索与频率分析，工作量较大</w:t>
      </w:r>
      <w:r>
        <w:fldChar w:fldCharType="begin"/>
      </w:r>
      <w:r>
        <w:instrText xml:space="preserve"> ADDIN ZOTERO_ITEM CSL_CITATION {"citationID":"Kkxj1cCe","properties":{"formattedCitation":"\\super [4,11]\\nosupersub{}","plainCitation":"[4,11]","noteIndex":0},"citationItems":[{"id":63,"uris":["http://zotero.org/users/20482611/items/GYDLAQRV"],"itemData":{"id":63,"type":"webpage","citation-key":"AtmosphericChemistryVOCs","title":"Atmospheric chemistry of VOCs and NOx - ScienceDirect","URL":"https://www.sciencedirect.com/science/article/abs/pii/S1352231099004604","accessed":{"date-parts":[["2026",5,30]]}}},{"id":64,"uris":["http://zotero.org/users/20482611/items/FABRM8IR"],"itemData":{"id":64,"type":"webpage","citation-key":"AtmosphericOxidationMechanism","title":"Atmospheric Oxidation Mechanism of Phenol Initiated by OH Radical | The Journal of Physical Chemistry A","URL":"https://pubs.acs.org/doi/abs/10.1021/jp308856b","accessed":{"date-parts":[["2026",5,30]]}}}],"schema":"https://github.com/citation-style-language/schema/raw/master/csl-citation.json"} </w:instrText>
      </w:r>
      <w:r>
        <w:fldChar w:fldCharType="separate"/>
      </w:r>
      <w:r w:rsidR="00820675" w:rsidRPr="00820675">
        <w:rPr>
          <w:rFonts w:cs="Times New Roman"/>
          <w:kern w:val="0"/>
          <w:vertAlign w:val="superscript"/>
        </w:rPr>
        <w:t>[4,11]</w:t>
      </w:r>
      <w:r>
        <w:fldChar w:fldCharType="end"/>
      </w:r>
      <w:r>
        <w:t>。</w:t>
      </w:r>
    </w:p>
    <w:p w14:paraId="2644E9D1" w14:textId="2F1356EF" w:rsidR="00793432" w:rsidRDefault="00000000">
      <w:r>
        <w:t>量子化学描述符为机器学习提供了重要的特征来源。</w:t>
      </w:r>
      <w:r>
        <w:t xml:space="preserve">NPA </w:t>
      </w:r>
      <w:r>
        <w:t>电荷、</w:t>
      </w:r>
      <w:r>
        <w:t xml:space="preserve">Mulliken </w:t>
      </w:r>
      <w:r>
        <w:t>电荷、</w:t>
      </w:r>
      <w:r>
        <w:t xml:space="preserve">HOMO/LUMO </w:t>
      </w:r>
      <w:r>
        <w:t>能级、能隙与偶极矩等特征能够反映电子分布、亲核亲电倾向及分子整体极性</w:t>
      </w:r>
      <w:r>
        <w:fldChar w:fldCharType="begin"/>
      </w:r>
      <w:r>
        <w:instrText xml:space="preserve"> ADDIN ZOTERO_ITEM CSL_CITATION {"citationID":"KlXaBq39","properties":{"formattedCitation":"\\super [12\\uc0\\u8211{}14]\\nosupersub{}","plainCitation":"[12–14]","noteIndex":0},"citationItems":[{"id":57,"uris":["http://zotero.org/users/20482611/items/JRJ9L7DM"],"itemData":{"id":57,"type":"article-journal","citation-key":"reedIntermolecularInteractionsNatural1988","container-title":"Chemical Reviews","issue":"6","note":"ISBN: 0009-2665","page":"899-926","publisher":"ACS Publications","title":"Intermolecular interactions from a natural bond orbital, donor-acceptor viewpoint","volume":"88","author":[{"family":"Reed","given":"Alan E."},{"family":"Curtiss","given":"Larry A."},{"family":"Weinhold","given":"Frank"}],"issued":{"date-parts":[["1988"]]}}},{"id":58,"uris":["http://zotero.org/users/20482611/items/J4PE2CNM"],"itemData":{"id":58,"type":"article-journal","citation-key":"mullikenElectronicPopulationAnalysis1955","container-title":"The Journal of chemical physics","issue":"10","note":"ISBN: 0021-9606","page":"1833-1840","publisher":"American Institute of Physics","title":"Electronic population analysis on LCAO–MO molecular wave functions. I","volume":"23","author":[{"family":"Mulliken","given":"Robert S."}],"issued":{"date-parts":[["1955"]]}}},{"id":59,"uris":["http://zotero.org/users/20482611/items/6IZQC5U4"],"itemData":{"id":59,"type":"article-journal","citation-key":"yangUseGlobalLocal1986","container-title":"Journal of the American Chemical Society","issue":"19","note":"ISBN: 0002-7863","page":"5708-5711","publisher":"ACS Publications","title":"The use of global and local molecular parameters for the analysis of the gas-phase basicity of amines","volume":"108","author":[{"family":"Yang","given":"Weitao"},{"family":"Mortier","given":"Wilfried J."}],"issued":{"date-parts":[["1986"]]}}}],"schema":"https://github.com/citation-style-language/schema/raw/master/csl-citation.json"} </w:instrText>
      </w:r>
      <w:r>
        <w:fldChar w:fldCharType="separate"/>
      </w:r>
      <w:r w:rsidR="00820675" w:rsidRPr="00820675">
        <w:rPr>
          <w:rFonts w:cs="Times New Roman"/>
          <w:kern w:val="0"/>
          <w:vertAlign w:val="superscript"/>
        </w:rPr>
        <w:t>[12–14]</w:t>
      </w:r>
      <w:r>
        <w:fldChar w:fldCharType="end"/>
      </w:r>
      <w:r>
        <w:t>；</w:t>
      </w:r>
      <w:r>
        <w:t xml:space="preserve">Fukui </w:t>
      </w:r>
      <w:r>
        <w:t>指数则进一步通过中性、阴离子与阳离子体系的</w:t>
      </w:r>
      <w:r>
        <w:lastRenderedPageBreak/>
        <w:t>电荷差分描述原子的亲电或亲核反应倾向，常被用于解析有机分子的局部反应性</w:t>
      </w:r>
      <w:r>
        <w:fldChar w:fldCharType="begin"/>
      </w:r>
      <w:r>
        <w:instrText xml:space="preserve"> ADDIN ZOTERO_ITEM CSL_CITATION {"citationID":"EOc6e1Nv","properties":{"formattedCitation":"\\super [15]\\nosupersub{}","plainCitation":"[15]","noteIndex":0},"citationItems":[{"id":70,"uris":["http://zotero.org/users/20482611/items/64HIHHW5"],"itemData":{"id":70,"type":"webpage","citation-key":"QuantitativeStructureProperty","title":"Quantitative structure–property relationship of the photoelectrochemical oxidation of phenolic pollutants at modified nanoporous titanium oxide using supervised machine learning - Physical Chemistry Chemical Physics (RSC Publishing)","URL":"https://pubs.rsc.org/en/content/articlelanding/2020/cp/d0cp01518k/unauth","accessed":{"date-parts":[["2026",5,30]]}}}],"schema":"https://github.com/citation-style-language/schema/raw/master/csl-citation.json"} </w:instrText>
      </w:r>
      <w:r>
        <w:fldChar w:fldCharType="separate"/>
      </w:r>
      <w:r w:rsidR="00820675" w:rsidRPr="00820675">
        <w:rPr>
          <w:rFonts w:cs="Times New Roman"/>
          <w:kern w:val="0"/>
          <w:vertAlign w:val="superscript"/>
        </w:rPr>
        <w:t>[15]</w:t>
      </w:r>
      <w:r>
        <w:fldChar w:fldCharType="end"/>
      </w:r>
      <w:r>
        <w:t>。与纯结构描述符相比，上述量子化学特征更接近反应机理，但获取成本亦显著更高。</w:t>
      </w:r>
    </w:p>
    <w:p w14:paraId="3CCAC454" w14:textId="3DB24FF0" w:rsidR="00793432" w:rsidRDefault="00000000">
      <w:r>
        <w:t>在机器学习层面，</w:t>
      </w:r>
      <w:proofErr w:type="spellStart"/>
      <w:r>
        <w:t>Chemprop</w:t>
      </w:r>
      <w:proofErr w:type="spellEnd"/>
      <w:r>
        <w:t xml:space="preserve"> </w:t>
      </w:r>
      <w:r>
        <w:t>代表了一类基于消息传递神经网络的分子性质预测方法。该方法将分子表示为原子与键组成的图结构，通过多轮消息传递学习局部环境与全局分子信息。在反应位点预测任务中，每个原子均可视为候选位点，模型需判别其是否为反应中心</w:t>
      </w:r>
      <w:r>
        <w:fldChar w:fldCharType="begin"/>
      </w:r>
      <w:r>
        <w:instrText xml:space="preserve"> ADDIN ZOTERO_ITEM CSL_CITATION {"citationID":"tFhfhxgb","properties":{"formattedCitation":"\\super [8]\\nosupersub{}","plainCitation":"[8]","noteIndex":0},"citationItems":[{"id":67,"uris":["http://zotero.org/users/20482611/items/2CMZ6UJM"],"itemData":{"id":67,"type":"webpage","citation-key":"PredictionOrganicReaction","title":"Prediction of Organic Reaction Outcomes Using Machine Learning | ACS Central Science","URL":"https://pubs.acs.org/doi/full/10.1021/acscentsci.7b00064","accessed":{"date-parts":[["2026",5,30]]}}}],"schema":"https://github.com/citation-style-language/schema/raw/master/csl-citation.json"} </w:instrText>
      </w:r>
      <w:r>
        <w:fldChar w:fldCharType="separate"/>
      </w:r>
      <w:r w:rsidR="00820675" w:rsidRPr="00820675">
        <w:rPr>
          <w:rFonts w:cs="Times New Roman"/>
          <w:kern w:val="0"/>
          <w:vertAlign w:val="superscript"/>
        </w:rPr>
        <w:t>[8]</w:t>
      </w:r>
      <w:r>
        <w:fldChar w:fldCharType="end"/>
      </w:r>
      <w:r>
        <w:t>。与之对应，</w:t>
      </w:r>
      <w:r>
        <w:t>Random Forest</w:t>
      </w:r>
      <w:r>
        <w:t>、</w:t>
      </w:r>
      <w:r>
        <w:t>Extra Trees</w:t>
      </w:r>
      <w:r>
        <w:t>、</w:t>
      </w:r>
      <w:r>
        <w:t>Gradient Boosting</w:t>
      </w:r>
      <w:r>
        <w:t>、</w:t>
      </w:r>
      <w:r>
        <w:t xml:space="preserve">SVM </w:t>
      </w:r>
      <w:r>
        <w:t>与</w:t>
      </w:r>
      <w:r>
        <w:t xml:space="preserve"> Logistic Regression </w:t>
      </w:r>
      <w:r>
        <w:t>等传统模型虽不能直接处理变长分子图，但可通过原子级样本展开与定长特征表完成建模，在小样本与特征解释方面仍具优势</w:t>
      </w:r>
      <w:r>
        <w:fldChar w:fldCharType="begin"/>
      </w:r>
      <w:r>
        <w:instrText xml:space="preserve"> ADDIN ZOTERO_ITEM CSL_CITATION {"citationID":"UYYlaaXE","properties":{"formattedCitation":"\\super [16]\\nosupersub{}","plainCitation":"[16]","noteIndex":0},"citationItems":[{"id":43,"uris":["http://zotero.org/users/20482611/items/LVIP9KWN"],"itemData":{"id":43,"type":"article-journal","abstract":"Micropollutants (MPs) pose significant risks to aquatic ecosystems and human health because of their persistence and potential for bioaccumulation. UV/H2O2 oxidation effectively degrades a wide range of MPs through the generation of hydroxyl radicals (•OH). However, predicting MP degradation under varying operational conditions remains challenging due to the complex interactions among process parameters and molecular properties. This study advances the understanding of MP degradation in UV/H2O2 systems by integrating experimental data from published studies with explainable machine learning (ML). Nine ML algorithms were developed and evaluated for predicting the degradation rate constant (ln(k)) using process conditions, classical molecular descriptors, and quantum chemical reactivity indices. Model interpretability was assessed through Shapley Additive Explanations (SHAP), and virtual simulations were performed to explore the effects of water matrix characteristics, process conditions, and molecular structure on MPs reactivity. Results show that the best-performing model, a gradient boosting decision tree (GBDT), achieved high predictive accuracy and provided explanations consistent with established •OH reaction theory. Process conditions—particularly UV fluence rate, H2O2 concentration, and pH—exerted a stronger influence on ln(k) prediction than molecular properties. Nevertheless, quantum chemical descriptors such as chemical hardness, maximum absorption wavelength, and Fukui indices offered valuable insights into structure–reactivity relationships. By integrating explainable ML with molecular and process descriptors, this study bridges mechanistic understanding and predictive modeling, supporting more informed design and optimization of advanced water treatment systems.","citation-key":"nurhayatiExplainableMachineLearning2026","container-title":"Water Research","DOI":"10.1016/j.watres.2026.125796","ISSN":"0043-1354","journalAbbreviation":"Water Research","page":"125796","source":"ScienceDirect","title":"Explainable machine learning reveals how molecular descriptors govern micropollutant degradation in UV/H2O2 oxidation","volume":"298","author":[{"family":"Nurhayati","given":"Mita"},{"family":"Kim","given":"Sangsik"},{"family":"Lee","given":"Byung Joon"},{"family":"Shon","given":"Ho Kyong"},{"family":"Cho","given":"Jaeweon"},{"family":"Lee","given":"Sungyun"}],"issued":{"date-parts":[["2026",6,15]]}}}],"schema":"https://github.com/citation-style-language/schema/raw/master/csl-citation.json"} </w:instrText>
      </w:r>
      <w:r>
        <w:fldChar w:fldCharType="separate"/>
      </w:r>
      <w:r w:rsidR="00820675" w:rsidRPr="00820675">
        <w:rPr>
          <w:rFonts w:cs="Times New Roman"/>
          <w:kern w:val="0"/>
          <w:vertAlign w:val="superscript"/>
        </w:rPr>
        <w:t>[16]</w:t>
      </w:r>
      <w:r>
        <w:fldChar w:fldCharType="end"/>
      </w:r>
      <w:r>
        <w:t>。</w:t>
      </w:r>
    </w:p>
    <w:p w14:paraId="49DA9658" w14:textId="77777777" w:rsidR="00793432" w:rsidRDefault="00000000">
      <w:r>
        <w:t>已有研究表明，领域知识特征在小样本任务中仍发挥关键作用。对于酚类污染物而言，酚羟基位置、邻位</w:t>
      </w:r>
      <w:r>
        <w:t>/</w:t>
      </w:r>
      <w:r>
        <w:t>间位</w:t>
      </w:r>
      <w:r>
        <w:t>/</w:t>
      </w:r>
      <w:r>
        <w:t>对位关系、取代基吸电子或给电子效应、芳香环结构及邻位拥挤程度均会影响自由基攻击倾向。因此，本文不仅比较</w:t>
      </w:r>
      <w:r>
        <w:t xml:space="preserve"> Gaussian </w:t>
      </w:r>
      <w:r>
        <w:t>特征与</w:t>
      </w:r>
      <w:r>
        <w:t xml:space="preserve"> </w:t>
      </w:r>
      <w:proofErr w:type="spellStart"/>
      <w:r>
        <w:t>RDKit</w:t>
      </w:r>
      <w:proofErr w:type="spellEnd"/>
      <w:r>
        <w:t xml:space="preserve"> </w:t>
      </w:r>
      <w:r>
        <w:t>结构特征，亦补充酚类</w:t>
      </w:r>
      <w:r>
        <w:t xml:space="preserve"> SMILES </w:t>
      </w:r>
      <w:r>
        <w:t>领域特征，并进一步考察</w:t>
      </w:r>
      <w:r>
        <w:t xml:space="preserve"> Fukui </w:t>
      </w:r>
      <w:r>
        <w:t>指数对模型表现的影响。</w:t>
      </w:r>
    </w:p>
    <w:p w14:paraId="61C680EA" w14:textId="77777777" w:rsidR="00793432" w:rsidRDefault="00000000">
      <w:r>
        <w:t>针对酚类污染物的实验研究已积累相当成果。文献中常通过测定二阶反应速率常数、产物结构鉴定及稳定性同位素标记，刻画羟基自由基、硫酸根自由基与酚类化合物的反应行为，并以</w:t>
      </w:r>
      <w:r>
        <w:t xml:space="preserve"> Hammett </w:t>
      </w:r>
      <w:r>
        <w:t>方程关联取代基效应与速率常数。此类研究通常依赖光化学反应器、激光闪光光解及稳定性较好的标准物，扩展至大量结构相近衍生物时成本较高。与之相对，量子化学研究多采用</w:t>
      </w:r>
      <w:r>
        <w:t xml:space="preserve"> B3LYP</w:t>
      </w:r>
      <w:r>
        <w:t>、</w:t>
      </w:r>
      <w:r>
        <w:t xml:space="preserve">M06-2X </w:t>
      </w:r>
      <w:r>
        <w:t>等泛函配合</w:t>
      </w:r>
      <w:r>
        <w:t xml:space="preserve"> 6-31+G(</w:t>
      </w:r>
      <w:proofErr w:type="spellStart"/>
      <w:r>
        <w:t>d,p</w:t>
      </w:r>
      <w:proofErr w:type="spellEnd"/>
      <w:r>
        <w:t>)</w:t>
      </w:r>
      <w:r>
        <w:t>、</w:t>
      </w:r>
      <w:r>
        <w:t xml:space="preserve">def2-TZVP </w:t>
      </w:r>
      <w:r>
        <w:t>等基组，可在单分子水平给出反应路径的能量与几何细节，但因过渡态搜索与频率分析耗时较长，研究对象通常局限于少数代表性分子。</w:t>
      </w:r>
    </w:p>
    <w:p w14:paraId="174C6DC6" w14:textId="6583D787" w:rsidR="00793432" w:rsidRDefault="00000000">
      <w:r>
        <w:t xml:space="preserve">QSAR </w:t>
      </w:r>
      <w:r>
        <w:t>与机器学习方法的引入缓解了数据规模扩展难题。早期</w:t>
      </w:r>
      <w:r>
        <w:t xml:space="preserve"> QSAR </w:t>
      </w:r>
      <w:r>
        <w:t>模型多以多元线性回归或偏最小二乘建立结构描述符与速率常数之间的关系，特征常涉及拓扑指数、电子参数与空间参数。此类方法在小样本条件下解释性强，但对非线性关系与高维特征的处理能力有限</w:t>
      </w:r>
      <w:r>
        <w:fldChar w:fldCharType="begin"/>
      </w:r>
      <w:r>
        <w:instrText xml:space="preserve"> ADDIN ZOTERO_ITEM CSL_CITATION {"citationID":"J2Y4yYAd","properties":{"formattedCitation":"\\super [8]\\nosupersub{}","plainCitation":"[8]","noteIndex":0},"citationItems":[{"id":67,"uris":["http://zotero.org/users/20482611/items/2CMZ6UJM"],"itemData":{"id":67,"type":"webpage","citation-key":"PredictionOrganicReaction","title":"Prediction of Organic Reaction Outcomes Using Machine Learning | ACS Central Science","URL":"https://pubs.acs.org/doi/full/10.1021/acscentsci.7b00064","accessed":{"date-parts":[["2026",5,30]]}}}],"schema":"https://github.com/citation-style-language/schema/raw/master/csl-citation.json"} </w:instrText>
      </w:r>
      <w:r>
        <w:fldChar w:fldCharType="separate"/>
      </w:r>
      <w:r w:rsidR="00820675" w:rsidRPr="00820675">
        <w:rPr>
          <w:rFonts w:cs="Times New Roman"/>
          <w:kern w:val="0"/>
          <w:vertAlign w:val="superscript"/>
        </w:rPr>
        <w:t>[8]</w:t>
      </w:r>
      <w:r>
        <w:fldChar w:fldCharType="end"/>
      </w:r>
      <w:r>
        <w:t>。随着随机森林、梯度提升、支持向量机及神经网络等模型的推广，越来越多研究将分子描述符或量子化学参数作为输入，建立污染物反应活性、毒性与吸附性能的预测模型</w:t>
      </w:r>
      <w:r>
        <w:fldChar w:fldCharType="begin"/>
      </w:r>
      <w:r>
        <w:instrText xml:space="preserve"> ADDIN ZOTERO_ITEM CSL_CITATION {"citationID":"QOvX9Jgu","properties":{"formattedCitation":"\\super [15,17,18]\\nosupersub{}","plainCitation":"[15,17,18]","noteIndex":0},"citationItems":[{"id":70,"uris":["http://zotero.org/users/20482611/items/64HIHHW5"],"itemData":{"id":70,"type":"webpage","citation-key":"QuantitativeStructureProperty","title":"Quantitative structure–property relationship of the photoelectrochemical oxidation of phenolic pollutants at modified nanoporous titanium oxide using supervised machine learning - Physical Chemistry Chemical Physics (RSC Publishing)","URL":"https://pubs.rsc.org/en/content/articlelanding/2020/cp/d0cp01518k/unauth","accessed":{"date-parts":[["2026",5,30]]}}},{"id":71,"uris":["http://zotero.org/users/20482611/items/VAIMCPK5"],"itemData":{"id":71,"type":"webpage","citation-key":"EnhancedBiodegradationPhenol","title":"Enhanced biodegradation of phenol under Cr(VI) stress by microbial collaboration and potential application of machine learning for phenol biodegradation | Water Science &amp; Technology | IWA Publishing","URL":"https://iwaponline.com/wst/article/89/9/2384/102134/Enhanced-biodegradation-of-phenol-under-Cr-VI","accessed":{"date-parts":[["2026",5,30]]}}},{"id":72,"uris":["http://zotero.org/users/20482611/items/4MJNQ9WE"],"itemData":{"id":72,"type":"article-journal","abstract":"A growing body of literature suggests that developmental exposure to individual or mixtures of environmental chemicals (ECs) is associated with autism spectrum disorder (ASD). However, investigating the effect of interactions among these ECs can be challenging. We introduced a combination of the classical exposure-mixture Weighted Quantile Sum (WQS) regression and a machine-learning method termed Signed iterative Random Forest (SiRF) to discover synergistic interactions between ECs that are (1) associated with higher odds of ASD diagnosis, (2) mimic toxicological interactions, and (3) are present only in a subset of the sample whose chemical concentrations are higher than certain thresholds. In a case-control Childhood Autism Risks from Genetics and Environment (CHARGE) study, we evaluated multiordered synergistic interactions among 62 ECs measured in the urine samples of 479 children in association with increased odds for ASD diagnosis (yes vs no). WQS-SiRF identified two synergistic two-ordered interactions between (1) trace-element cadmium (Cd) and the organophosphate pesticide metabolite diethyl-phosphate (DEP); and (2) 2,4,6-trichlorophenol (TCP-246) and DEP. Both interactions were suggestively associated with increased odds of ASD diagnosis in the subset of children with urinary concentrations of Cd, DEP, and TCP-246 above the 75th percentile. This study demonstrates a novel method that combines the inferential power of WQS and the predictive accuracy of machine-learning algorithms to discover potentially biologically relevant chemical–chemical interactions associated with ASD.","citation-key":"midyaMachineLearningAssisted2023","container-title":"Environmental Science &amp; Technology","DOI":"10.1021/acs.est.3c00848","ISSN":"0013-936X","issue":"46","journalAbbreviation":"Environ. Sci. Technol.","page":"18139-18150","publisher":"American Chemical Society","source":"ACS Publications","title":"Machine Learning Assisted Discovery of Interactions between Pesticides, Phthalates, Phenols, and Trace Elements in Child Neurodevelopment","volume":"57","author":[{"family":"Midya","given":"Vishal"},{"family":"Alcala","given":"Cecilia Sara"},{"family":"Rechtman","given":"Elza"},{"family":"Gregory","given":"Jill K."},{"family":"Kannan","given":"Kurunthachalam"},{"family":"Hertz-Picciotto","given":"Irva"},{"family":"Teitelbaum","given":"Susan L."},{"family":"Gennings","given":"Chris"},{"family":"Rosa","given":"Maria J."},{"family":"Valvi","given":"Damaskini"}],"issued":{"date-parts":[["2023",11,21]]}}}],"schema":"https://github.com/citation-style-language/schema/raw/master/csl-citation.json"} </w:instrText>
      </w:r>
      <w:r>
        <w:fldChar w:fldCharType="separate"/>
      </w:r>
      <w:r w:rsidR="00820675" w:rsidRPr="00820675">
        <w:rPr>
          <w:rFonts w:cs="Times New Roman"/>
          <w:kern w:val="0"/>
          <w:vertAlign w:val="superscript"/>
        </w:rPr>
        <w:t>[15,17,18]</w:t>
      </w:r>
      <w:r>
        <w:fldChar w:fldCharType="end"/>
      </w:r>
      <w:r>
        <w:t>。前期研究计划涉及的文献亦涵盖吸附容量预测、毒性预测、酚类污染物去除及光电化学氧化等机</w:t>
      </w:r>
      <w:r>
        <w:lastRenderedPageBreak/>
        <w:t>器学习应用方向。</w:t>
      </w:r>
    </w:p>
    <w:p w14:paraId="6A1BF375" w14:textId="4A34C8DF" w:rsidR="00793432" w:rsidRDefault="00000000">
      <w:r>
        <w:t>在分子表示层面，图神经网络是近年来的重要进展。</w:t>
      </w:r>
      <w:r>
        <w:t>Yang</w:t>
      </w:r>
      <w:r>
        <w:t>等提出的</w:t>
      </w:r>
      <w:r>
        <w:t>D-MPNN</w:t>
      </w:r>
      <w:r>
        <w:t>通过有向消息传递处理分子图，结合</w:t>
      </w:r>
      <w:proofErr w:type="spellStart"/>
      <w:r>
        <w:t>ReadOut</w:t>
      </w:r>
      <w:proofErr w:type="spellEnd"/>
      <w:r>
        <w:t>操作得到原子或分子表示，能够稳定地处理</w:t>
      </w:r>
      <w:r>
        <w:t>C</w:t>
      </w:r>
      <w:r>
        <w:t>、</w:t>
      </w:r>
      <w:r>
        <w:t>O</w:t>
      </w:r>
      <w:r>
        <w:t>、</w:t>
      </w:r>
      <w:r>
        <w:t>N</w:t>
      </w:r>
      <w:r>
        <w:t>、卤素、</w:t>
      </w:r>
      <w:r>
        <w:t>S</w:t>
      </w:r>
      <w:r>
        <w:t>、</w:t>
      </w:r>
      <w:r>
        <w:t>P</w:t>
      </w:r>
      <w:r>
        <w:t>等多元素体系</w:t>
      </w:r>
      <w:r>
        <w:fldChar w:fldCharType="begin"/>
      </w:r>
      <w:r>
        <w:instrText xml:space="preserve"> ADDIN ZOTERO_ITEM CSL_CITATION {"citationID":"HAoZzKhW","properties":{"formattedCitation":"\\super [19]\\nosupersub{}","plainCitation":"[19]","noteIndex":0},"citationItems":[{"id":53,"uris":["http://zotero.org/users/20482611/items/C9L26C7D"],"itemData":{"id":53,"type":"patent","citation-key":"zotero-item-53","title":"Chemprop developers. Chemprop documentation. https://chemprop.readthedocs.io/."}}],"schema":"https://github.com/citation-style-language/schema/raw/master/csl-citation.json"} </w:instrText>
      </w:r>
      <w:r>
        <w:fldChar w:fldCharType="separate"/>
      </w:r>
      <w:r w:rsidR="00820675" w:rsidRPr="00820675">
        <w:rPr>
          <w:rFonts w:cs="Times New Roman"/>
          <w:kern w:val="0"/>
          <w:vertAlign w:val="superscript"/>
        </w:rPr>
        <w:t>[19]</w:t>
      </w:r>
      <w:r>
        <w:fldChar w:fldCharType="end"/>
      </w:r>
      <w:r>
        <w:t>。本文使用的</w:t>
      </w:r>
      <w:proofErr w:type="spellStart"/>
      <w:r>
        <w:t>Chemprop</w:t>
      </w:r>
      <w:proofErr w:type="spellEnd"/>
      <w:r>
        <w:t>即在</w:t>
      </w:r>
      <w:r>
        <w:t>D-MPNN</w:t>
      </w:r>
      <w:r>
        <w:t>基础上扩展，支持原子级目标与外部原子描述符注入，其原子级</w:t>
      </w:r>
      <w:r>
        <w:t>MAB</w:t>
      </w:r>
      <w:r>
        <w:t>（</w:t>
      </w:r>
      <w:r>
        <w:t>Multi-Atom-Bond</w:t>
      </w:r>
      <w:r>
        <w:t>）任务接口与反应位点二分类问题高度契合</w:t>
      </w:r>
      <w:r>
        <w:fldChar w:fldCharType="begin"/>
      </w:r>
      <w:r>
        <w:instrText xml:space="preserve"> ADDIN ZOTERO_ITEM CSL_CITATION {"citationID":"zpddvmzX","properties":{"formattedCitation":"\\super [20]\\nosupersub{}","plainCitation":"[20]","noteIndex":0},"citationItems":[{"id":68,"uris":["http://zotero.org/users/20482611/items/G6M77X9D"],"itemData":{"id":68,"type":"article-journal","abstract":"Organic synthesis is one of the key stumbling blocks in medicinal chemistry. A necessary yet unsolved step in planning synthesis is solving the forward problem: Given reactants and reagents, predict the products. Similar to other work, we treat reaction prediction as a machine translation problem between simplified molecular-input line-entry system (SMILES) strings (a text-based representation) of reactants, reagents, and the products. We show that a multihead attention Molecular Transformer model outperforms all algorithms in the literature, achieving a top-1 accuracy above 90% on a common benchmark data set. Molecular Transformer makes predictions by inferring the correlations between the presence and absence of chemical motifs in the reactant, reagent, and product present in the data set. Our model requires no handcrafted rules and accurately predicts subtle chemical transformations. Crucially, our model can accurately estimate its own uncertainty, with an uncertainty score that is 89% accurate in terms of classifying whether a prediction is correct. Furthermore, we show that the model is able to handle inputs without a reactant–reagent split and including stereochemistry, which makes our method universally applicable.","citation-key":"schwallerMolecularTransformerModel2019","container-title":"ACS Central Science","DOI":"10.1021/acscentsci.9b00576","ISSN":"2374-7943","issue":"9","journalAbbreviation":"ACS Cent. Sci.","page":"1572-1583","publisher":"American Chemical Society","source":"ACS Publications","title":"Molecular Transformer: A Model for Uncertainty-Calibrated Chemical Reaction Prediction","title-short":"Molecular Transformer","volume":"5","author":[{"family":"Schwaller","given":"Philippe"},{"family":"Laino","given":"Teodoro"},{"family":"Gaudin","given":"Théophile"},{"family":"Bolgar","given":"Peter"},{"family":"Hunter","given":"Christopher A."},{"family":"Bekas","given":"Costas"},{"family":"Lee","given":"Alpha A."}],"issued":{"date-parts":[["2019",9,25]]}}}],"schema":"https://github.com/citation-style-language/schema/raw/master/csl-citation.json"} </w:instrText>
      </w:r>
      <w:r>
        <w:fldChar w:fldCharType="separate"/>
      </w:r>
      <w:r w:rsidR="00820675" w:rsidRPr="00820675">
        <w:rPr>
          <w:rFonts w:cs="Times New Roman"/>
          <w:kern w:val="0"/>
          <w:vertAlign w:val="superscript"/>
        </w:rPr>
        <w:t>[20]</w:t>
      </w:r>
      <w:r>
        <w:fldChar w:fldCharType="end"/>
      </w:r>
      <w:r>
        <w:t>。</w:t>
      </w:r>
      <w:r>
        <w:t>Transformer</w:t>
      </w:r>
      <w:r>
        <w:t>类反应预测模型则将</w:t>
      </w:r>
      <w:r>
        <w:t>SMILES</w:t>
      </w:r>
      <w:r>
        <w:t>视为序列输入，通过预训练</w:t>
      </w:r>
      <w:r>
        <w:t>—</w:t>
      </w:r>
      <w:r>
        <w:t>微调获得分子级表示，与图模型形成互补。</w:t>
      </w:r>
    </w:p>
    <w:p w14:paraId="4D57C7FD" w14:textId="035895CB" w:rsidR="00793432" w:rsidRDefault="00000000">
      <w:r>
        <w:t>针对酚类污染物自由基反应位点这一更细粒度任务，国内外可直接复用的公开数据集仍较为稀缺。</w:t>
      </w:r>
      <w:r>
        <w:t xml:space="preserve">USPTO-50k </w:t>
      </w:r>
      <w:r>
        <w:t>反应数据集提供了约</w:t>
      </w:r>
      <w:r>
        <w:t xml:space="preserve"> 5 </w:t>
      </w:r>
      <w:r>
        <w:t>万分子量级的原子级反应位点标签，但其中酚类化合物所占比例有限，且未配套量子化学描述符</w:t>
      </w:r>
      <w:r>
        <w:fldChar w:fldCharType="begin"/>
      </w:r>
      <w:r>
        <w:instrText xml:space="preserve"> ADDIN ZOTERO_ITEM CSL_CITATION {"citationID":"FE5YQTVp","properties":{"formattedCitation":"\\super [21]\\nosupersub{}","plainCitation":"[21]","noteIndex":0},"citationItems":[{"id":56,"uris":["http://zotero.org/users/20482611/items/6J894UL8"],"itemData":{"id":56,"type":"article-journal","citation-key":"pedregosaScikitlearnMachineLearning2011","container-title":"the Journal of machine Learning research","note":"ISBN: 1532-4435","page":"2825-2830","publisher":"JMLR. org","title":"Scikit-learn: Machine learning in Python","volume":"12","author":[{"family":"Pedregosa","given":"Fabian"},{"family":"Varoquaux","given":"Gaël"},{"family":"Gramfort","given":"Alexandre"},{"family":"Michel","given":"Vincent"},{"family":"Thirion","given":"Bertrand"},{"family":"Grisel","given":"Olivier"},{"family":"Blondel","given":"Mathieu"},{"family":"Prettenhofer","given":"Peter"},{"family":"Weiss","given":"Ron"},{"family":"Dubourg","given":"Vincent"}],"issued":{"date-parts":[["2011"]]}}}],"schema":"https://github.com/citation-style-language/schema/raw/master/csl-citation.json"} </w:instrText>
      </w:r>
      <w:r>
        <w:fldChar w:fldCharType="separate"/>
      </w:r>
      <w:r w:rsidR="00820675" w:rsidRPr="00820675">
        <w:rPr>
          <w:rFonts w:cs="Times New Roman"/>
          <w:kern w:val="0"/>
          <w:vertAlign w:val="superscript"/>
        </w:rPr>
        <w:t>[21]</w:t>
      </w:r>
      <w:r>
        <w:fldChar w:fldCharType="end"/>
      </w:r>
      <w:r>
        <w:t>。围绕本课题，从中筛选酚类与相关芳香污染物并自建</w:t>
      </w:r>
      <w:r>
        <w:t xml:space="preserve"> Gaussian </w:t>
      </w:r>
      <w:r>
        <w:t>结构，所得</w:t>
      </w:r>
      <w:r>
        <w:t xml:space="preserve"> 138 </w:t>
      </w:r>
      <w:r>
        <w:t>条</w:t>
      </w:r>
      <w:r>
        <w:t xml:space="preserve"> Gaussian-138 </w:t>
      </w:r>
      <w:r>
        <w:t>数据集在一定程度上弥补了该空缺：所有样本均带有</w:t>
      </w:r>
      <w:r>
        <w:t xml:space="preserve"> NPA </w:t>
      </w:r>
      <w:r>
        <w:t>与</w:t>
      </w:r>
      <w:r>
        <w:t xml:space="preserve"> Mulliken </w:t>
      </w:r>
      <w:r>
        <w:t>电荷、</w:t>
      </w:r>
      <w:r>
        <w:t>HOMO/LUMO</w:t>
      </w:r>
      <w:r>
        <w:t>、</w:t>
      </w:r>
      <w:r>
        <w:t xml:space="preserve">SCF </w:t>
      </w:r>
      <w:r>
        <w:t>能量等量子化学量，并补充完成</w:t>
      </w:r>
      <w:r>
        <w:t xml:space="preserve"> Fukui </w:t>
      </w:r>
      <w:r>
        <w:t>三态计算，能够在原子级反应位点任务上完成机器学习与图神经网络的横向对比。</w:t>
      </w:r>
    </w:p>
    <w:p w14:paraId="3BA011BF" w14:textId="70865873" w:rsidR="00793432" w:rsidRDefault="00000000">
      <w:r>
        <w:t>近年来，光催化与电化学氧化技术的发展进一步丰富了酚类污染物的降解途径。光催化通过</w:t>
      </w:r>
      <w:r>
        <w:t xml:space="preserve"> TiO2</w:t>
      </w:r>
      <w:r>
        <w:t>、</w:t>
      </w:r>
      <w:r>
        <w:t xml:space="preserve">g-C3N4 </w:t>
      </w:r>
      <w:r>
        <w:t>等半导体在紫外或可见光下产生空穴与羟基自由基；电化学氧化则借助阳极直接氧化或间接产生活性物种降解污染物。</w:t>
      </w:r>
      <w:proofErr w:type="spellStart"/>
      <w:r>
        <w:t>Dondapati</w:t>
      </w:r>
      <w:proofErr w:type="spellEnd"/>
      <w:r>
        <w:t xml:space="preserve"> </w:t>
      </w:r>
      <w:r>
        <w:t>等</w:t>
      </w:r>
      <w:r>
        <w:fldChar w:fldCharType="begin"/>
      </w:r>
      <w:r>
        <w:instrText xml:space="preserve"> ADDIN ZOTERO_ITEM CSL_CITATION {"citationID":"JFLs1ZTi","properties":{"formattedCitation":"\\super [15]\\nosupersub{}","plainCitation":"[15]","noteIndex":0},"citationItems":[{"id":70,"uris":["http://zotero.org/users/20482611/items/64HIHHW5"],"itemData":{"id":70,"type":"webpage","citation-key":"QuantitativeStructureProperty","title":"Quantitative structure–property relationship of the photoelectrochemical oxidation of phenolic pollutants at modified nanoporous titanium oxide using supervised machine learning - Physical Chemistry Chemical Physics (RSC Publishing)","URL":"https://pubs.rsc.org/en/content/articlelanding/2020/cp/d0cp01518k/unauth","accessed":{"date-parts":[["2026",5,30]]}}}],"schema":"https://github.com/citation-style-language/schema/raw/master/csl-citation.json"} </w:instrText>
      </w:r>
      <w:r>
        <w:fldChar w:fldCharType="separate"/>
      </w:r>
      <w:r w:rsidR="00820675" w:rsidRPr="00820675">
        <w:rPr>
          <w:rFonts w:cs="Times New Roman"/>
          <w:kern w:val="0"/>
          <w:vertAlign w:val="superscript"/>
        </w:rPr>
        <w:t>[15]</w:t>
      </w:r>
      <w:r>
        <w:fldChar w:fldCharType="end"/>
      </w:r>
      <w:r>
        <w:t>基于纳米多孔氧化钛的光电化学氧化研究中，运用机器学习对取代酚类的氧化电位与反应动力学建立</w:t>
      </w:r>
      <w:r>
        <w:t xml:space="preserve"> QSAR </w:t>
      </w:r>
      <w:r>
        <w:t>模型，证实结构特征与电子参数能够较好地解释不同取代酚类的反应速率。</w:t>
      </w:r>
      <w:r>
        <w:t xml:space="preserve">Bing </w:t>
      </w:r>
      <w:r>
        <w:t>等</w:t>
      </w:r>
      <w:r>
        <w:fldChar w:fldCharType="begin"/>
      </w:r>
      <w:r>
        <w:instrText xml:space="preserve"> ADDIN ZOTERO_ITEM CSL_CITATION {"citationID":"8WSe0B3e","properties":{"formattedCitation":"\\super [17]\\nosupersub{}","plainCitation":"[17]","noteIndex":0},"citationItems":[{"id":71,"uris":["http://zotero.org/users/20482611/items/VAIMCPK5"],"itemData":{"id":71,"type":"webpage","citation-key":"EnhancedBiodegradationPhenol","title":"Enhanced biodegradation of phenol under Cr(VI) stress by microbial collaboration and potential application of machine learning for phenol biodegradation | Water Science &amp; Technology | IWA Publishing","URL":"https://iwaponline.com/wst/article/89/9/2384/102134/Enhanced-biodegradation-of-phenol-under-Cr-VI","accessed":{"date-parts":[["2026",5,30]]}}}],"schema":"https://github.com/citation-style-language/schema/raw/master/csl-citation.json"} </w:instrText>
      </w:r>
      <w:r>
        <w:fldChar w:fldCharType="separate"/>
      </w:r>
      <w:r w:rsidR="00820675" w:rsidRPr="00820675">
        <w:rPr>
          <w:rFonts w:cs="Times New Roman"/>
          <w:kern w:val="0"/>
          <w:vertAlign w:val="superscript"/>
        </w:rPr>
        <w:t>[17]</w:t>
      </w:r>
      <w:r>
        <w:fldChar w:fldCharType="end"/>
      </w:r>
      <w:r>
        <w:t>针对高浓度苯酚研究中，将机器学习与混合菌群降解相结合，揭示了生物降解路径的潜在调控因素。这些研究共同表明</w:t>
      </w:r>
      <w:r>
        <w:fldChar w:fldCharType="begin"/>
      </w:r>
      <w:r>
        <w:instrText xml:space="preserve"> ADDIN ZOTERO_ITEM CSL_CITATION {"citationID":"5Gn6t59T","properties":{"formattedCitation":"\\super [18,5,22]\\nosupersub{}","plainCitation":"[18,5,22]","noteIndex":0},"citationItems":[{"id":72,"uris":["http://zotero.org/users/20482611/items/4MJNQ9WE"],"itemData":{"id":72,"type":"article-journal","abstract":"A growing body of literature suggests that developmental exposure to individual or mixtures of environmental chemicals (ECs) is associated with autism spectrum disorder (ASD). However, investigating the effect of interactions among these ECs can be challenging. We introduced a combination of the classical exposure-mixture Weighted Quantile Sum (WQS) regression and a machine-learning method termed Signed iterative Random Forest (SiRF) to discover synergistic interactions between ECs that are (1) associated with higher odds of ASD diagnosis, (2) mimic toxicological interactions, and (3) are present only in a subset of the sample whose chemical concentrations are higher than certain thresholds. In a case-control Childhood Autism Risks from Genetics and Environment (CHARGE) study, we evaluated multiordered synergistic interactions among 62 ECs measured in the urine samples of 479 children in association with increased odds for ASD diagnosis (yes vs no). WQS-SiRF identified two synergistic two-ordered interactions between (1) trace-element cadmium (Cd) and the organophosphate pesticide metabolite diethyl-phosphate (DEP); and (2) 2,4,6-trichlorophenol (TCP-246) and DEP. Both interactions were suggestively associated with increased odds of ASD diagnosis in the subset of children with urinary concentrations of Cd, DEP, and TCP-246 above the 75th percentile. This study demonstrates a novel method that combines the inferential power of WQS and the predictive accuracy of machine-learning algorithms to discover potentially biologically relevant chemical–chemical interactions associated with ASD.","citation-key":"midyaMachineLearningAssisted2023","container-title":"Environmental Science &amp; Technology","DOI":"10.1021/acs.est.3c00848","ISSN":"0013-936X","issue":"46","journalAbbreviation":"Environ. Sci. Technol.","page":"18139-18150","publisher":"American Chemical Society","source":"ACS Publications","title":"Machine Learning Assisted Discovery of Interactions between Pesticides, Phthalates, Phenols, and Trace Elements in Child Neurodevelopment","volume":"57","author":[{"family":"Midya","given":"Vishal"},{"family":"Alcala","given":"Cecilia Sara"},{"family":"Rechtman","given":"Elza"},{"family":"Gregory","given":"Jill K."},{"family":"Kannan","given":"Kurunthachalam"},{"family":"Hertz-Picciotto","given":"Irva"},{"family":"Teitelbaum","given":"Susan L."},{"family":"Gennings","given":"Chris"},{"family":"Rosa","given":"Maria J."},{"family":"Valvi","given":"Damaskini"}],"issued":{"date-parts":[["2023",11,21]]}}},{"id":74,"uris":["http://zotero.org/users/20482611/items/MTFXCQ2J"],"itemData":{"id":74,"type":"webpage","citation-key":"ScreeningToxicTransformation","title":"Screening toxic transformation products of emerging pollutants in advanced oxidation processes with 3D deep learning and in vitro assays - ScienceDirect","URL":"https://www.sciencedirect.com/science/article/pii/S0043135426001818","accessed":{"date-parts":[["2026",5,30]]}}},{"id":75,"uris":["http://zotero.org/users/20482611/items/R4EBL3Y6"],"itemData":{"id":75,"type":"webpage","citation-key":"IntegratingExperimentalPredictive","title":"Integrating experimental and predictive modeling approaches for phenolic pollutants removal using bisphenol-based hyper-cross-linked resin - ScienceDirect","URL":"https://www.sciencedirect.com/science/article/pii/S0167732226001923","accessed":{"date-parts":[["2026",5,30]]}}}],"schema":"https://github.com/citation-style-language/schema/raw/master/csl-citation.json"} </w:instrText>
      </w:r>
      <w:r>
        <w:fldChar w:fldCharType="separate"/>
      </w:r>
      <w:r w:rsidR="00820675" w:rsidRPr="00820675">
        <w:rPr>
          <w:rFonts w:cs="Times New Roman"/>
          <w:kern w:val="0"/>
          <w:vertAlign w:val="superscript"/>
        </w:rPr>
        <w:t>[18,5,22]</w:t>
      </w:r>
      <w:r>
        <w:fldChar w:fldCharType="end"/>
      </w:r>
      <w:r>
        <w:t>，机器学习已成为污染物降解机理研究的重要补充手段。</w:t>
      </w:r>
    </w:p>
    <w:p w14:paraId="06D5A841" w14:textId="77777777" w:rsidR="00793432" w:rsidRDefault="00000000">
      <w:pPr>
        <w:pStyle w:val="2"/>
        <w:spacing w:line="360" w:lineRule="auto"/>
        <w:ind w:firstLine="562"/>
      </w:pPr>
      <w:bookmarkStart w:id="3" w:name="_Toc3422"/>
      <w:r>
        <w:t>1.3</w:t>
      </w:r>
      <w:r>
        <w:t>研究内容与技术路线</w:t>
      </w:r>
      <w:bookmarkEnd w:id="3"/>
    </w:p>
    <w:p w14:paraId="4DA46D40" w14:textId="77777777" w:rsidR="00793432" w:rsidRDefault="00000000">
      <w:r>
        <w:t>本文围绕酚类污染物自由基反应活性预测与关键位点识别问题展开。主要工作包括：对</w:t>
      </w:r>
      <w:r>
        <w:t>Gaussian</w:t>
      </w:r>
      <w:r>
        <w:t>优化与单点计算结果开展可用性审计，形成</w:t>
      </w:r>
      <w:r>
        <w:t>Gaussian-138</w:t>
      </w:r>
      <w:r>
        <w:t>数据集；从电荷布居、</w:t>
      </w:r>
      <w:r>
        <w:t>Fukui</w:t>
      </w:r>
      <w:r>
        <w:t>三态响应和</w:t>
      </w:r>
      <w:r>
        <w:t>NICS</w:t>
      </w:r>
      <w:r>
        <w:t>芳香性计算中提取原子级与分子级描述符；构建</w:t>
      </w:r>
      <w:proofErr w:type="spellStart"/>
      <w:r>
        <w:t>Chemprop</w:t>
      </w:r>
      <w:proofErr w:type="spellEnd"/>
      <w:r>
        <w:t>图神经网络以及</w:t>
      </w:r>
      <w:r>
        <w:t>Logistic Regression</w:t>
      </w:r>
      <w:r>
        <w:t>、</w:t>
      </w:r>
      <w:r>
        <w:t>RBF-SVM</w:t>
      </w:r>
      <w:r>
        <w:t>、</w:t>
      </w:r>
      <w:r>
        <w:t>Random Forest</w:t>
      </w:r>
      <w:r>
        <w:t>、</w:t>
      </w:r>
      <w:r>
        <w:t>Extra Trees</w:t>
      </w:r>
      <w:r>
        <w:t>、</w:t>
      </w:r>
      <w:r>
        <w:t>Gradient Boosting</w:t>
      </w:r>
      <w:r>
        <w:t>等传统模型；采用</w:t>
      </w:r>
      <w:r>
        <w:t>PRC</w:t>
      </w:r>
      <w:r>
        <w:t>、</w:t>
      </w:r>
      <w:r>
        <w:t>Best F1</w:t>
      </w:r>
      <w:r>
        <w:t>、</w:t>
      </w:r>
      <w:r>
        <w:t>Hit@1</w:t>
      </w:r>
      <w:r>
        <w:lastRenderedPageBreak/>
        <w:t>和</w:t>
      </w:r>
      <w:r>
        <w:t>Hit@3</w:t>
      </w:r>
      <w:r>
        <w:t>综合评价原子级分类与分子内排序能力；并在大规模反应位点数据上检验结构特征驱动模型的稳健性。</w:t>
      </w:r>
    </w:p>
    <w:p w14:paraId="38000D76" w14:textId="77777777" w:rsidR="00793432" w:rsidRDefault="00000000">
      <w:r>
        <w:t>技术路线可概括为数据整理、特征提取、模型训练、指标评价与结果解释五个阶段。数据整理阶段重点剔除计算失败、原子顺序不一致及特征缺失样本；特征提取阶段将每个重原子转化为带有结构、电子和领域信息的样本；模型训练阶段采用分子级划分，避免同一分子的不同原子同时出现在训练集和验证集；指标评价阶段同时考察原子级分类性能与分子内</w:t>
      </w:r>
      <w:r>
        <w:t>Top-K</w:t>
      </w:r>
      <w:r>
        <w:t>排序能力；结果解释阶段结合描述符的化学含义讨论模型差异。</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02"/>
      </w:tblGrid>
      <w:tr w:rsidR="00793432" w14:paraId="31D91103" w14:textId="77777777">
        <w:tc>
          <w:tcPr>
            <w:tcW w:w="8302" w:type="dxa"/>
          </w:tcPr>
          <w:p w14:paraId="75114034" w14:textId="77777777" w:rsidR="00793432" w:rsidRDefault="00000000">
            <w:pPr>
              <w:ind w:firstLineChars="0" w:firstLine="0"/>
            </w:pPr>
            <w:r>
              <w:rPr>
                <w:noProof/>
              </w:rPr>
              <w:drawing>
                <wp:inline distT="0" distB="0" distL="0" distR="0" wp14:anchorId="0454E3B7" wp14:editId="47B0A172">
                  <wp:extent cx="5133340" cy="2588895"/>
                  <wp:effectExtent l="0" t="0" r="0" b="1905"/>
                  <wp:docPr id="2" name="Picture 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005"/>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185587" cy="2615445"/>
                          </a:xfrm>
                          <a:prstGeom prst="rect">
                            <a:avLst/>
                          </a:prstGeom>
                        </pic:spPr>
                      </pic:pic>
                    </a:graphicData>
                  </a:graphic>
                </wp:inline>
              </w:drawing>
            </w:r>
          </w:p>
        </w:tc>
      </w:tr>
    </w:tbl>
    <w:p w14:paraId="7D1767D1" w14:textId="77777777" w:rsidR="00793432" w:rsidRDefault="00000000">
      <w:pPr>
        <w:pStyle w:val="a3"/>
        <w:ind w:firstLine="422"/>
        <w:rPr>
          <w:rFonts w:ascii="Times New Roman" w:hAnsi="Times New Roman"/>
          <w:bCs/>
          <w:szCs w:val="21"/>
        </w:rPr>
      </w:pPr>
      <w:r>
        <w:rPr>
          <w:rFonts w:ascii="Times New Roman" w:hAnsi="Times New Roman"/>
          <w:bCs/>
          <w:szCs w:val="21"/>
        </w:rPr>
        <w:t>图</w:t>
      </w:r>
      <w:r>
        <w:rPr>
          <w:rFonts w:ascii="Times New Roman" w:hAnsi="Times New Roman"/>
          <w:bCs/>
          <w:szCs w:val="21"/>
        </w:rPr>
        <w:t xml:space="preserve">1-1 </w:t>
      </w:r>
      <w:r>
        <w:rPr>
          <w:rFonts w:ascii="Times New Roman" w:hAnsi="Times New Roman"/>
          <w:bCs/>
          <w:szCs w:val="21"/>
        </w:rPr>
        <w:t>本课题反应位点预测技术路线</w:t>
      </w:r>
    </w:p>
    <w:p w14:paraId="673DDBA9" w14:textId="77777777" w:rsidR="00793432" w:rsidRDefault="00000000">
      <w:pPr>
        <w:spacing w:line="400" w:lineRule="atLeast"/>
        <w:ind w:firstLineChars="0" w:firstLine="0"/>
        <w:sectPr w:rsidR="00793432">
          <w:headerReference w:type="default" r:id="rId25"/>
          <w:footerReference w:type="default" r:id="rId26"/>
          <w:pgSz w:w="11906" w:h="16838"/>
          <w:pgMar w:top="1440" w:right="1797" w:bottom="1440" w:left="1797" w:header="850" w:footer="992" w:gutter="0"/>
          <w:pgNumType w:start="1"/>
          <w:cols w:space="720"/>
        </w:sectPr>
      </w:pPr>
      <w:r>
        <w:br w:type="page"/>
      </w:r>
    </w:p>
    <w:p w14:paraId="4B20E239" w14:textId="77777777" w:rsidR="00793432" w:rsidRDefault="00000000">
      <w:pPr>
        <w:pStyle w:val="1"/>
        <w:spacing w:line="360" w:lineRule="auto"/>
        <w:ind w:firstLine="643"/>
      </w:pPr>
      <w:bookmarkStart w:id="4" w:name="_Toc7991"/>
      <w:r>
        <w:lastRenderedPageBreak/>
        <w:t>第</w:t>
      </w:r>
      <w:r>
        <w:t>2</w:t>
      </w:r>
      <w:r>
        <w:t>章理论基础与研究方法</w:t>
      </w:r>
      <w:bookmarkEnd w:id="4"/>
    </w:p>
    <w:p w14:paraId="479379E6" w14:textId="77777777" w:rsidR="00793432" w:rsidRDefault="00000000">
      <w:pPr>
        <w:pStyle w:val="2"/>
        <w:spacing w:line="360" w:lineRule="auto"/>
        <w:ind w:firstLine="562"/>
      </w:pPr>
      <w:bookmarkStart w:id="5" w:name="_Toc5023"/>
      <w:r>
        <w:t>2.1</w:t>
      </w:r>
      <w:r>
        <w:t>自由基反应位点预测任务</w:t>
      </w:r>
      <w:bookmarkEnd w:id="5"/>
    </w:p>
    <w:p w14:paraId="7FB85A8C" w14:textId="77777777" w:rsidR="00793432" w:rsidRDefault="00000000">
      <w:r>
        <w:t>自由基反应位点预测的核心在于判别分子中哪些原子更易成为初始反应中心。对于酚类污染物，反应位点同时受电子效应、共振效应、空间位阻及局部官能团环境的影响。羟基、甲氧基、卤素、硝基与羰基等取代基可通过诱导效应与共轭效应改变芳香环各位置的电子密度，从而影响自由基加成或氢抽提过程。在机器学习建模中，需将上述化学因素转化为模型可识别的数值特征。</w:t>
      </w:r>
    </w:p>
    <w:p w14:paraId="5E769F93" w14:textId="77777777" w:rsidR="00793432" w:rsidRDefault="00000000">
      <w:r>
        <w:t>本课题以原子级二分类形式表征反应位点预测任务。对每个分子而言，原始标签</w:t>
      </w:r>
      <w:r>
        <w:t xml:space="preserve"> </w:t>
      </w:r>
      <w:proofErr w:type="spellStart"/>
      <w:r>
        <w:t>atom_site</w:t>
      </w:r>
      <w:proofErr w:type="spellEnd"/>
      <w:r>
        <w:t xml:space="preserve"> </w:t>
      </w:r>
      <w:r>
        <w:t>为与重原子数量一致的</w:t>
      </w:r>
      <w:r>
        <w:t xml:space="preserve"> 0/1 </w:t>
      </w:r>
      <w:r>
        <w:t>序列，其中</w:t>
      </w:r>
      <w:r>
        <w:t xml:space="preserve"> 1 </w:t>
      </w:r>
      <w:r>
        <w:t>表示该原子为关键反应位点，</w:t>
      </w:r>
      <w:r>
        <w:t xml:space="preserve">0 </w:t>
      </w:r>
      <w:r>
        <w:t>表示非反应位点。传统机器学习模型不能直接接收变长标签序列，因此需将分子展开为多个原子样本，每行样本描述一个原子的局部结构、电子性质及所属分子信息。模型输出每个原子的反应概率后，再按分子聚合，计算</w:t>
      </w:r>
      <w:r>
        <w:t xml:space="preserve"> Hit@1</w:t>
      </w:r>
      <w:r>
        <w:t>、</w:t>
      </w:r>
      <w:r>
        <w:t xml:space="preserve">Hit@3 </w:t>
      </w:r>
      <w:r>
        <w:t>等排序指标。</w:t>
      </w:r>
    </w:p>
    <w:p w14:paraId="07D4A7D7" w14:textId="77777777" w:rsidR="00793432" w:rsidRDefault="00000000">
      <w:r>
        <w:t>与一般分子性质预测不同，反应位点预测更关注同一分子内部不同原子的相对排序。即便模型在整体二分类阈值上表现一般，只要能将真实反应位点排在分子内前若干位，仍具有显著的筛选价值。因此，本文不再以默认阈值下的准确率作为唯一指标，而以</w:t>
      </w:r>
      <w:r>
        <w:t xml:space="preserve"> PRC</w:t>
      </w:r>
      <w:r>
        <w:t>、</w:t>
      </w:r>
      <w:r>
        <w:t xml:space="preserve">Best F1 </w:t>
      </w:r>
      <w:r>
        <w:t>与</w:t>
      </w:r>
      <w:r>
        <w:t xml:space="preserve"> Top-K </w:t>
      </w:r>
      <w:r>
        <w:t>命中率为主要评价依据。</w:t>
      </w:r>
    </w:p>
    <w:p w14:paraId="0437A9FE" w14:textId="77777777" w:rsidR="00793432" w:rsidRDefault="00000000">
      <w:r>
        <w:t>由于反应位点正类比例较低（</w:t>
      </w:r>
      <w:r>
        <w:t xml:space="preserve">138 </w:t>
      </w:r>
      <w:r>
        <w:t>条分子共</w:t>
      </w:r>
      <w:r>
        <w:t xml:space="preserve"> 2509 </w:t>
      </w:r>
      <w:r>
        <w:t>个重原子，正类原子</w:t>
      </w:r>
      <w:r>
        <w:t xml:space="preserve"> 283 </w:t>
      </w:r>
      <w:r>
        <w:t>个，约占</w:t>
      </w:r>
      <w:r>
        <w:t xml:space="preserve"> 11.3%</w:t>
      </w:r>
      <w:r>
        <w:t>），仅以默认阈值</w:t>
      </w:r>
      <w:r>
        <w:t xml:space="preserve"> 0.5 </w:t>
      </w:r>
      <w:r>
        <w:t>进行硬分类容易低估模型的实际筛选能力。为此，评估阶段对每个原子级概率序列进行阈值扫描，遍历阈值并计算对应</w:t>
      </w:r>
      <w:r>
        <w:t xml:space="preserve"> F1</w:t>
      </w:r>
      <w:r>
        <w:t>，取最大值作为</w:t>
      </w:r>
      <w:r>
        <w:t xml:space="preserve"> Best F1</w:t>
      </w:r>
      <w:r>
        <w:t>。该指标可规避阈值选择的随意性，更准确反映模型在排序意义上的性能。</w:t>
      </w:r>
    </w:p>
    <w:p w14:paraId="6681224E" w14:textId="77777777" w:rsidR="00793432" w:rsidRDefault="00000000">
      <w:r>
        <w:t>在原子级二分类任务的实践中，反应位点的标注口径直接影响实验难度。本课题中</w:t>
      </w:r>
      <w:r>
        <w:t xml:space="preserve"> </w:t>
      </w:r>
      <w:proofErr w:type="spellStart"/>
      <w:r>
        <w:t>atom_site</w:t>
      </w:r>
      <w:proofErr w:type="spellEnd"/>
      <w:r>
        <w:t xml:space="preserve"> </w:t>
      </w:r>
      <w:r>
        <w:t>标签来源于数据集原始注释，对每个分子标记一个或多个高活性原子；少量分子内可能存在多个反应位点并被同时标记为正类。机器学习模型在此标签口径下进行训练时，需识别分子内全部正类原子，因此分子级</w:t>
      </w:r>
      <w:r>
        <w:t xml:space="preserve"> </w:t>
      </w:r>
      <w:proofErr w:type="spellStart"/>
      <w:r>
        <w:t>Hit@K</w:t>
      </w:r>
      <w:proofErr w:type="spellEnd"/>
      <w:r>
        <w:t xml:space="preserve"> </w:t>
      </w:r>
      <w:r>
        <w:t>指标更能体现模型对反应位点集合的覆盖能力。若后续将任务拓展至反应位点排序或反应路径预测，可在原标签基础上进一步引入位点优先级或反应通道编号。</w:t>
      </w:r>
    </w:p>
    <w:p w14:paraId="030DEA8C" w14:textId="77777777" w:rsidR="00793432" w:rsidRDefault="00000000">
      <w:pPr>
        <w:pStyle w:val="2"/>
        <w:spacing w:line="360" w:lineRule="auto"/>
        <w:ind w:firstLine="562"/>
      </w:pPr>
      <w:bookmarkStart w:id="6" w:name="_Toc16893"/>
      <w:r>
        <w:lastRenderedPageBreak/>
        <w:t>2.2Gaussian</w:t>
      </w:r>
      <w:r>
        <w:t>量子化学描述符</w:t>
      </w:r>
      <w:bookmarkEnd w:id="6"/>
    </w:p>
    <w:p w14:paraId="47EBB907" w14:textId="4B124FFF" w:rsidR="00793432" w:rsidRDefault="00000000">
      <w:r>
        <w:t>Gaussian</w:t>
      </w:r>
      <w:r>
        <w:t>量子化学计算为本文提供电子结构层面的描述符。所用特征包括原子级</w:t>
      </w:r>
      <w:r>
        <w:t>NPA</w:t>
      </w:r>
      <w:r>
        <w:t>电荷、</w:t>
      </w:r>
      <w:r>
        <w:t>Mulliken</w:t>
      </w:r>
      <w:r>
        <w:t>电荷，以及分子级总电荷、自旋多重度、</w:t>
      </w:r>
      <w:r>
        <w:t>SCF</w:t>
      </w:r>
      <w:r>
        <w:t>能量、</w:t>
      </w:r>
      <w:r>
        <w:t>HOMO</w:t>
      </w:r>
      <w:r>
        <w:t>与</w:t>
      </w:r>
      <w:r>
        <w:t>LUMO</w:t>
      </w:r>
      <w:r>
        <w:t>能量、能隙、偶极矩和重原子数量等</w:t>
      </w:r>
      <w:r>
        <w:fldChar w:fldCharType="begin"/>
      </w:r>
      <w:r>
        <w:instrText xml:space="preserve"> ADDIN ZOTERO_ITEM CSL_CITATION {"citationID":"tT4ZWryf","properties":{"formattedCitation":"\\super [12,13]\\nosupersub{}","plainCitation":"[12,13]","noteIndex":0},"citationItems":[{"id":57,"uris":["http://zotero.org/users/20482611/items/JRJ9L7DM"],"itemData":{"id":57,"type":"article-journal","citation-key":"reedIntermolecularInteractionsNatural1988","container-title":"Chemical Reviews","issue":"6","note":"ISBN: 0009-2665","page":"899-926","publisher":"ACS Publications","title":"Intermolecular interactions from a natural bond orbital, donor-acceptor viewpoint","volume":"88","author":[{"family":"Reed","given":"Alan E."},{"family":"Curtiss","given":"Larry A."},{"family":"Weinhold","given":"Frank"}],"issued":{"date-parts":[["1988"]]}}},{"id":58,"uris":["http://zotero.org/users/20482611/items/J4PE2CNM"],"itemData":{"id":58,"type":"article-journal","citation-key":"mullikenElectronicPopulationAnalysis1955","container-title":"The Journal of chemical physics","issue":"10","note":"ISBN: 0021-9606","page":"1833-1840","publisher":"American Institute of Physics","title":"Electronic population analysis on LCAO–MO molecular wave functions. I","volume":"23","author":[{"family":"Mulliken","given":"Robert S."}],"issued":{"date-parts":[["1955"]]}}}],"schema":"https://github.com/citation-style-language/schema/raw/master/csl-citation.json"} </w:instrText>
      </w:r>
      <w:r>
        <w:fldChar w:fldCharType="separate"/>
      </w:r>
      <w:r w:rsidR="00820675" w:rsidRPr="00820675">
        <w:rPr>
          <w:rFonts w:cs="Times New Roman"/>
          <w:kern w:val="0"/>
          <w:vertAlign w:val="superscript"/>
        </w:rPr>
        <w:t>[12,13]</w:t>
      </w:r>
      <w:r>
        <w:fldChar w:fldCharType="end"/>
      </w:r>
      <w:r>
        <w:t>。</w:t>
      </w:r>
      <w:r>
        <w:t>NPA</w:t>
      </w:r>
      <w:r>
        <w:t>与</w:t>
      </w:r>
      <w:r>
        <w:t>Mulliken</w:t>
      </w:r>
      <w:r>
        <w:t>电荷均刻画原子局部电荷分布，但二者基于不同布居分析方法，数值并不完全一致；同时使用二者可为模型提供互补的电荷视角</w:t>
      </w:r>
      <w:r>
        <w:fldChar w:fldCharType="begin"/>
      </w:r>
      <w:r>
        <w:instrText xml:space="preserve"> ADDIN ZOTERO_ITEM CSL_CITATION {"citationID":"c3kFMpIE","properties":{"formattedCitation":"\\super [14,10]\\nosupersub{}","plainCitation":"[14,10]","noteIndex":0},"citationItems":[{"id":59,"uris":["http://zotero.org/users/20482611/items/6IZQC5U4"],"itemData":{"id":59,"type":"article-journal","citation-key":"yangUseGlobalLocal1986","container-title":"Journal of the American Chemical Society","issue":"19","note":"ISBN: 0002-7863","page":"5708-5711","publisher":"ACS Publications","title":"The use of global and local molecular parameters for the analysis of the gas-phase basicity of amines","volume":"108","author":[{"family":"Yang","given":"Weitao"},{"family":"Mortier","given":"Wilfried J."}],"issued":{"date-parts":[["1986"]]}}},{"id":60,"uris":["http://zotero.org/users/20482611/items/TWTNVJPH"],"itemData":{"id":60,"type":"article-journal","citation-key":"zhaoM06SuiteDensity2008","container-title":"Theoretical chemistry accounts","issue":"1","note":"ISBN: 1432-881X","page":"215-241","publisher":"Springer","title":"The M06 suite of density functionals for main group thermochemistry, thermochemical kinetics, noncovalent interactions, excited states, and transition elements: two new functionals and systematic testing of four M06-class functionals and 12 other functionals","volume":"120","author":[{"family":"Zhao","given":"Yan"},{"family":"Truhlar","given":"Donald G."}],"issued":{"date-parts":[["2008"]]}}}],"schema":"https://github.com/citation-style-language/schema/raw/master/csl-citation.json"} </w:instrText>
      </w:r>
      <w:r>
        <w:fldChar w:fldCharType="separate"/>
      </w:r>
      <w:r w:rsidR="00820675" w:rsidRPr="00820675">
        <w:rPr>
          <w:rFonts w:cs="Times New Roman"/>
          <w:kern w:val="0"/>
          <w:vertAlign w:val="superscript"/>
        </w:rPr>
        <w:t>[14,10]</w:t>
      </w:r>
      <w:r>
        <w:fldChar w:fldCharType="end"/>
      </w:r>
      <w:r>
        <w:t>。</w:t>
      </w:r>
    </w:p>
    <w:p w14:paraId="392615EA" w14:textId="77777777" w:rsidR="00793432" w:rsidRDefault="00000000">
      <w:r>
        <w:t>在基础电荷量之外，本文进一步构造绝对电荷、正负电荷分解、分子内排序和百分位、中心化电荷、邻域电荷统计、芳香环局部平均电荷以及</w:t>
      </w:r>
      <w:r>
        <w:t>NPA-Mulliken</w:t>
      </w:r>
      <w:r>
        <w:t>差值等派生量。这些描述符不需要额外量子化学计算，主要用于从不同尺度表达局部电荷偏离、邻近原子电子环境和芳香环内电子分布差异。</w:t>
      </w:r>
    </w:p>
    <w:p w14:paraId="052390B9" w14:textId="77777777" w:rsidR="00793432" w:rsidRDefault="00000000">
      <w:r>
        <w:t>在</w:t>
      </w:r>
      <w:r>
        <w:t>Mulliken</w:t>
      </w:r>
      <w:r>
        <w:t>与</w:t>
      </w:r>
      <w:r>
        <w:t>NPA</w:t>
      </w:r>
      <w:r>
        <w:t>两种电荷布居方法的取舍上，本文遵循量子化学计算结果中可稳定获得的布居信息。</w:t>
      </w:r>
      <w:r>
        <w:t>Mulliken</w:t>
      </w:r>
      <w:r>
        <w:t>电荷由密度矩阵划分得到，对基组选择较为敏感；</w:t>
      </w:r>
      <w:r>
        <w:t>NPA</w:t>
      </w:r>
      <w:r>
        <w:t>电荷基于自然轨道分解，常用于反应性分析。两种电荷数值并不完全一致，但通常存在相关性，将其同时纳入模型可提供互补的局部电子结构视角。</w:t>
      </w:r>
    </w:p>
    <w:p w14:paraId="4073AD19" w14:textId="77777777" w:rsidR="00793432" w:rsidRDefault="00000000">
      <w:r>
        <w:t>HOMO</w:t>
      </w:r>
      <w:r>
        <w:t>与</w:t>
      </w:r>
      <w:r>
        <w:t>LUMO</w:t>
      </w:r>
      <w:r>
        <w:t>能级及其差值是另一类重要的分子级电子结构特征。</w:t>
      </w:r>
      <w:r>
        <w:t>HOMO</w:t>
      </w:r>
      <w:r>
        <w:t>较高的分子更倾向作为电子供体，</w:t>
      </w:r>
      <w:r>
        <w:t>LUMO</w:t>
      </w:r>
      <w:r>
        <w:t>较低的分子更容易接受电子，二者差值常被用作分子整体反应活性的近似表征。本文将前线轨道能级、能隙、偶极矩和电荷统计量作为分子级描述符，并在结果解释中明确区分原子级电荷特征与分子级全局特征，避免把全局量带来的影响误归因于单个原子的电荷贡献。</w:t>
      </w:r>
    </w:p>
    <w:p w14:paraId="30C47226" w14:textId="77777777" w:rsidR="00793432" w:rsidRDefault="00000000">
      <w:pPr>
        <w:pStyle w:val="2"/>
        <w:spacing w:line="360" w:lineRule="auto"/>
        <w:ind w:firstLine="562"/>
      </w:pPr>
      <w:bookmarkStart w:id="7" w:name="_Toc14291"/>
      <w:r>
        <w:t>2.3RDKit</w:t>
      </w:r>
      <w:r>
        <w:t>与酚类领域特征</w:t>
      </w:r>
      <w:bookmarkEnd w:id="7"/>
    </w:p>
    <w:p w14:paraId="7B5BDC04" w14:textId="16660495" w:rsidR="00793432" w:rsidRDefault="00000000">
      <w:proofErr w:type="spellStart"/>
      <w:r>
        <w:t>RDKit</w:t>
      </w:r>
      <w:proofErr w:type="spellEnd"/>
      <w:r>
        <w:t xml:space="preserve"> </w:t>
      </w:r>
      <w:r>
        <w:t>特征用于描述分子的二维结构与原子局部环境。本文采用的结构特征包括原子序数、归一化原子序号、原子度数、形式电荷、显式氢数量、芳香性、环信息、杂化方式、原子质量、邻居原子序数统计、邻居度数统计、分子重原子数及环数量等</w:t>
      </w:r>
      <w:r>
        <w:fldChar w:fldCharType="begin"/>
      </w:r>
      <w:r>
        <w:instrText xml:space="preserve"> ADDIN ZOTERO_ITEM CSL_CITATION {"citationID":"l60X9VVl","properties":{"formattedCitation":"\\super [19]\\nosupersub{}","plainCitation":"[19]","noteIndex":0},"citationItems":[{"id":53,"uris":["http://zotero.org/users/20482611/items/C9L26C7D"],"itemData":{"id":53,"type":"patent","citation-key":"zotero-item-53","title":"Chemprop developers. Chemprop documentation. https://chemprop.readthedocs.io/."}}],"schema":"https://github.com/citation-style-language/schema/raw/master/csl-citation.json"} </w:instrText>
      </w:r>
      <w:r>
        <w:fldChar w:fldCharType="separate"/>
      </w:r>
      <w:r w:rsidR="00820675" w:rsidRPr="00820675">
        <w:rPr>
          <w:rFonts w:cs="Times New Roman"/>
          <w:kern w:val="0"/>
          <w:vertAlign w:val="superscript"/>
        </w:rPr>
        <w:t>[19]</w:t>
      </w:r>
      <w:r>
        <w:fldChar w:fldCharType="end"/>
      </w:r>
      <w:r>
        <w:t>。此类特征不依赖</w:t>
      </w:r>
      <w:r>
        <w:t xml:space="preserve"> Gaussian </w:t>
      </w:r>
      <w:r>
        <w:t>计算，可用于全量</w:t>
      </w:r>
      <w:r>
        <w:t xml:space="preserve"> USPTO-50k </w:t>
      </w:r>
      <w:r>
        <w:t>反应位点数据集的快速建模。</w:t>
      </w:r>
    </w:p>
    <w:p w14:paraId="0E1478D9" w14:textId="77777777" w:rsidR="00793432" w:rsidRDefault="00000000">
      <w:r>
        <w:t>针对酚类污染物，本文进一步引入领域特征。酚羟基位置、酚环原子标志、原子相对酚羟基的邻位</w:t>
      </w:r>
      <w:r>
        <w:t>/</w:t>
      </w:r>
      <w:r>
        <w:t>间位</w:t>
      </w:r>
      <w:r>
        <w:t>/</w:t>
      </w:r>
      <w:r>
        <w:t>对位关系、到酚羟基的环上距离、邻位取代数量及给电子</w:t>
      </w:r>
      <w:r>
        <w:t>/</w:t>
      </w:r>
      <w:r>
        <w:t>吸电子取代基数量等信息均与自由基反应位点选择相关。相较通用</w:t>
      </w:r>
      <w:r>
        <w:t xml:space="preserve"> </w:t>
      </w:r>
      <w:proofErr w:type="spellStart"/>
      <w:r>
        <w:t>RDKit</w:t>
      </w:r>
      <w:proofErr w:type="spellEnd"/>
      <w:r>
        <w:t xml:space="preserve"> </w:t>
      </w:r>
      <w:r>
        <w:t>特征，上述领域特征更直接表达酚类化合物的化学先验，适宜在小样本数</w:t>
      </w:r>
      <w:r>
        <w:lastRenderedPageBreak/>
        <w:t>据上补充模型信息。</w:t>
      </w:r>
    </w:p>
    <w:p w14:paraId="426CC5D1" w14:textId="77777777" w:rsidR="00793432" w:rsidRDefault="00000000">
      <w:r>
        <w:t>本文在</w:t>
      </w:r>
      <w:proofErr w:type="spellStart"/>
      <w:r>
        <w:t>RDKit</w:t>
      </w:r>
      <w:proofErr w:type="spellEnd"/>
      <w:r>
        <w:t>通用结构特征基础上补充十四类酚类领域特征，主要包括酚羟基数量、酚氧原子标志、酚环原子标志、相对酚羟基的邻位</w:t>
      </w:r>
      <w:r>
        <w:t>/</w:t>
      </w:r>
      <w:r>
        <w:t>间位</w:t>
      </w:r>
      <w:r>
        <w:t>/</w:t>
      </w:r>
      <w:r>
        <w:t>对位关系、至酚羟基的最短环距离、邻位取代数量、给电子取代基数量、吸电子取代基数量，以及卤素、甲氧基、硝基和羰基取代信息。其中，给电子取代基与吸电子取代基分别对应自由基反应中的电子供给和电子吸引效应。</w:t>
      </w:r>
    </w:p>
    <w:p w14:paraId="61EDCA7A" w14:textId="77777777" w:rsidR="00793432" w:rsidRDefault="00000000">
      <w:pPr>
        <w:pStyle w:val="2"/>
        <w:spacing w:line="360" w:lineRule="auto"/>
        <w:ind w:firstLine="562"/>
      </w:pPr>
      <w:bookmarkStart w:id="8" w:name="_Toc10352"/>
      <w:r>
        <w:t>2.4Chemprop</w:t>
      </w:r>
      <w:r>
        <w:t>与传统机器学习模型</w:t>
      </w:r>
      <w:bookmarkEnd w:id="8"/>
    </w:p>
    <w:p w14:paraId="7A7D8535" w14:textId="6E7A6349" w:rsidR="00793432" w:rsidRDefault="00000000">
      <w:proofErr w:type="spellStart"/>
      <w:r>
        <w:t>Chemprop</w:t>
      </w:r>
      <w:proofErr w:type="spellEnd"/>
      <w:r>
        <w:t>以分子图为输入并支持原子级反应位点目标。其核心是有向消息传递神经网络（</w:t>
      </w:r>
      <w:r>
        <w:t>D-MPNN</w:t>
      </w:r>
      <w:r>
        <w:t>）：分子被表示为带类型的原子节点和化学键，原子初始嵌入由元素类型、形式电荷、芳香性、杂化方式、氢数与环信息共同决定</w:t>
      </w:r>
      <w:r>
        <w:fldChar w:fldCharType="begin"/>
      </w:r>
      <w:r>
        <w:instrText xml:space="preserve"> ADDIN ZOTERO_ITEM CSL_CITATION {"citationID":"hcvKzY5j","properties":{"formattedCitation":"\\super [7]\\nosupersub{}","plainCitation":"[7]","noteIndex":0},"citationItems":[{"id":51,"uris":["http://zotero.org/users/20482611/items/JN2KYCJ9"],"itemData":{"id":51,"type":"webpage","citation-key":"AnalyzingLearnedMolecular","title":"Analyzing Learned Molecular Representations for Property Prediction | Journal of Chemical Information and Modeling","URL":"https://pubs.acs.org/doi/full/10.1021/acs.jcim.9b00237","accessed":{"date-parts":[["2026",5,30]]}}}],"schema":"https://github.com/citation-style-language/schema/raw/master/csl-citation.json"} </w:instrText>
      </w:r>
      <w:r>
        <w:fldChar w:fldCharType="separate"/>
      </w:r>
      <w:r w:rsidR="00820675" w:rsidRPr="00820675">
        <w:rPr>
          <w:rFonts w:cs="Times New Roman"/>
          <w:kern w:val="0"/>
          <w:vertAlign w:val="superscript"/>
        </w:rPr>
        <w:t>[7]</w:t>
      </w:r>
      <w:r>
        <w:fldChar w:fldCharType="end"/>
      </w:r>
      <w:r>
        <w:t>，键嵌入则编码键级、共轭和环结构信息。在多轮消息传递中，模型沿有向边聚合邻域信息，并将外部原子描述符并入原子表示。该机制适合处理酚类污染物中</w:t>
      </w:r>
      <w:r>
        <w:t>C</w:t>
      </w:r>
      <w:r>
        <w:t>、</w:t>
      </w:r>
      <w:r>
        <w:t>O</w:t>
      </w:r>
      <w:r>
        <w:t>、</w:t>
      </w:r>
      <w:r>
        <w:t>N</w:t>
      </w:r>
      <w:r>
        <w:t>、卤素和</w:t>
      </w:r>
      <w:r>
        <w:t>S</w:t>
      </w:r>
      <w:r>
        <w:t>等多元素体系，也便于考察</w:t>
      </w:r>
      <w:r>
        <w:t>Fukui</w:t>
      </w:r>
      <w:r>
        <w:t>与</w:t>
      </w:r>
      <w:r>
        <w:t>NICS</w:t>
      </w:r>
      <w:r>
        <w:t>等反应性描述符能否补充图结构信息</w:t>
      </w:r>
      <w:r>
        <w:fldChar w:fldCharType="begin"/>
      </w:r>
      <w:r>
        <w:instrText xml:space="preserve"> ADDIN ZOTERO_ITEM CSL_CITATION {"citationID":"5KUGgx4R","properties":{"formattedCitation":"\\super [9]\\nosupersub{}","plainCitation":"[9]","noteIndex":0},"citationItems":[{"id":78,"uris":["http://zotero.org/users/20482611/items/TCSPXFTY"],"itemData":{"id":78,"type":"webpage","citation-key":"QuantumChemistryaugmentedNeural","title":"Quantum chemistry-augmented neural networks for reactivity prediction: Performance, generalizability, and explainability | The Journal of Chemical Physics | AIP Publishing","URL":"https://pubs.aip.org/aip/jcp/article/156/8/084104/2840771","accessed":{"date-parts":[["2026",5,30]]}}}],"schema":"https://github.com/citation-style-language/schema/raw/master/csl-citation.json"} </w:instrText>
      </w:r>
      <w:r>
        <w:fldChar w:fldCharType="separate"/>
      </w:r>
      <w:r w:rsidR="00820675" w:rsidRPr="00820675">
        <w:rPr>
          <w:rFonts w:cs="Times New Roman"/>
          <w:kern w:val="0"/>
          <w:vertAlign w:val="superscript"/>
        </w:rPr>
        <w:t>[9]</w:t>
      </w:r>
      <w:r>
        <w:fldChar w:fldCharType="end"/>
      </w:r>
      <w:r>
        <w:t>。</w:t>
      </w:r>
    </w:p>
    <w:p w14:paraId="3C6C28C2" w14:textId="77777777" w:rsidR="00793432" w:rsidRDefault="00000000">
      <w:r>
        <w:t>传统机器学习模型涵盖线性模型、核方法、</w:t>
      </w:r>
      <w:r>
        <w:t>Bagging</w:t>
      </w:r>
      <w:r>
        <w:t>树模型和</w:t>
      </w:r>
      <w:r>
        <w:t>Boosting</w:t>
      </w:r>
      <w:r>
        <w:t>树模型。线性模型用于观察特征本身的可分性，核方法用于处理非线性边界，</w:t>
      </w:r>
      <w:r>
        <w:t>Random Forest</w:t>
      </w:r>
      <w:r>
        <w:t>与</w:t>
      </w:r>
      <w:r>
        <w:t>Extra Trees</w:t>
      </w:r>
      <w:r>
        <w:t>通过多棵决策树降低方差，</w:t>
      </w:r>
      <w:r>
        <w:t>Gradient Boosting</w:t>
      </w:r>
      <w:r>
        <w:t>通过逐步拟合残差提升表达能力。考虑到反应位点正负样本比例不均衡，模型训练中采用类别平衡或等效的样本权重策略。</w:t>
      </w:r>
    </w:p>
    <w:p w14:paraId="1C646089" w14:textId="77777777" w:rsidR="00793432" w:rsidRDefault="00000000">
      <w:r>
        <w:t xml:space="preserve">Gaussian-138 </w:t>
      </w:r>
      <w:r>
        <w:t>实验采用分子级</w:t>
      </w:r>
      <w:r>
        <w:t xml:space="preserve"> 8/2 </w:t>
      </w:r>
      <w:r>
        <w:t>划分，约</w:t>
      </w:r>
      <w:r>
        <w:t xml:space="preserve"> 110 </w:t>
      </w:r>
      <w:r>
        <w:t>个分子用于训练、</w:t>
      </w:r>
      <w:r>
        <w:t xml:space="preserve">28 </w:t>
      </w:r>
      <w:r>
        <w:t>个分子用于验证；全量</w:t>
      </w:r>
      <w:r>
        <w:t xml:space="preserve"> USPTO-50k </w:t>
      </w:r>
      <w:r>
        <w:t>反应位点</w:t>
      </w:r>
      <w:r>
        <w:t xml:space="preserve"> </w:t>
      </w:r>
      <w:r>
        <w:t>实验沿用原有</w:t>
      </w:r>
      <w:r>
        <w:t xml:space="preserve"> train_70 </w:t>
      </w:r>
      <w:r>
        <w:t>与</w:t>
      </w:r>
      <w:r>
        <w:t xml:space="preserve"> val_30 </w:t>
      </w:r>
      <w:r>
        <w:t>划分，训练集包含</w:t>
      </w:r>
      <w:r>
        <w:t xml:space="preserve"> 35011 </w:t>
      </w:r>
      <w:r>
        <w:t>个分子、</w:t>
      </w:r>
      <w:r>
        <w:t xml:space="preserve">989830 </w:t>
      </w:r>
      <w:r>
        <w:t>个原子样本，验证集包含</w:t>
      </w:r>
      <w:r>
        <w:t xml:space="preserve"> 15005 </w:t>
      </w:r>
      <w:r>
        <w:t>个分子、</w:t>
      </w:r>
      <w:r>
        <w:t xml:space="preserve">425233 </w:t>
      </w:r>
      <w:r>
        <w:t>个原子样本。</w:t>
      </w:r>
    </w:p>
    <w:p w14:paraId="51D83B3D" w14:textId="77777777" w:rsidR="00793432" w:rsidRDefault="00000000">
      <w:r>
        <w:t>在原子级反应位点任务中，</w:t>
      </w:r>
      <w:proofErr w:type="spellStart"/>
      <w:r>
        <w:t>Chemprop</w:t>
      </w:r>
      <w:proofErr w:type="spellEnd"/>
      <w:r>
        <w:t>输出每个原子的反应概率，并据此计算分子内排序指标。由于本文样本量较小，评价结果主要基于分子级验证集汇总，不额外宣称独立测试集结论。这一口径有助于避免将有限样本下的随机划分差异误解为模型在外部数据上的泛化能力。</w:t>
      </w:r>
    </w:p>
    <w:p w14:paraId="6F657A55" w14:textId="77777777" w:rsidR="00793432" w:rsidRDefault="00000000">
      <w:r>
        <w:t>传统机器学习模型采用相对保守的超参数设置，重点比较特征贡献而非通过复杂调参追求单次最高分。树模型使用较多基学习器以降低方差，线性模型和核</w:t>
      </w:r>
      <w:r>
        <w:lastRenderedPageBreak/>
        <w:t>模型在训练前进行缺失值填充与标准化处理。所有模型均采用分子级分组划分，保证同一分子的不同原子不会同时出现在训练集和验证集中。</w:t>
      </w:r>
    </w:p>
    <w:p w14:paraId="231313A7" w14:textId="77777777" w:rsidR="00793432" w:rsidRDefault="00000000">
      <w:pPr>
        <w:pStyle w:val="2"/>
        <w:spacing w:line="360" w:lineRule="auto"/>
        <w:ind w:firstLine="562"/>
      </w:pPr>
      <w:bookmarkStart w:id="9" w:name="_Toc8558"/>
      <w:r>
        <w:t>2.5</w:t>
      </w:r>
      <w:r>
        <w:t>评价指标与小样本评估口径</w:t>
      </w:r>
      <w:bookmarkEnd w:id="9"/>
    </w:p>
    <w:p w14:paraId="2DE5C26A" w14:textId="6EA60702" w:rsidR="00793432" w:rsidRDefault="00000000">
      <w:r>
        <w:t>反应位点预测属于典型的不平衡二分类任务。</w:t>
      </w:r>
      <w:r>
        <w:t>PRC</w:t>
      </w:r>
      <w:r>
        <w:t>（</w:t>
      </w:r>
      <w:r>
        <w:t>precision-recall</w:t>
      </w:r>
      <w:r>
        <w:t>曲线下面积，等价于</w:t>
      </w:r>
      <w:r>
        <w:t>average precision</w:t>
      </w:r>
      <w:r>
        <w:t>）相较</w:t>
      </w:r>
      <w:r>
        <w:t>ROC-AUC</w:t>
      </w:r>
      <w:r>
        <w:t>对正类排序更敏感，本文以</w:t>
      </w:r>
      <w:r>
        <w:t>PRC</w:t>
      </w:r>
      <w:r>
        <w:t>为主指标，</w:t>
      </w:r>
      <w:r>
        <w:t>ROC-AUC</w:t>
      </w:r>
      <w:r>
        <w:t>作为辅助</w:t>
      </w:r>
      <w:r>
        <w:fldChar w:fldCharType="begin"/>
      </w:r>
      <w:r>
        <w:instrText xml:space="preserve"> ADDIN ZOTERO_ITEM CSL_CITATION {"citationID":"bAXO977k","properties":{"formattedCitation":"\\super [21]\\nosupersub{}","plainCitation":"[21]","noteIndex":0},"citationItems":[{"id":56,"uris":["http://zotero.org/users/20482611/items/6J894UL8"],"itemData":{"id":56,"type":"article-journal","citation-key":"pedregosaScikitlearnMachineLearning2011","container-title":"the Journal of machine Learning research","note":"ISBN: 1532-4435","page":"2825-2830","publisher":"JMLR. org","title":"Scikit-learn: Machine learning in Python","volume":"12","author":[{"family":"Pedregosa","given":"Fabian"},{"family":"Varoquaux","given":"Gaël"},{"family":"Gramfort","given":"Alexandre"},{"family":"Michel","given":"Vincent"},{"family":"Thirion","given":"Bertrand"},{"family":"Grisel","given":"Olivier"},{"family":"Blondel","given":"Mathieu"},{"family":"Prettenhofer","given":"Peter"},{"family":"Weiss","given":"Ron"},{"family":"Dubourg","given":"Vincent"}],"issued":{"date-parts":[["2011"]]}}}],"schema":"https://github.com/citation-style-language/schema/raw/master/csl-citation.json"} </w:instrText>
      </w:r>
      <w:r>
        <w:fldChar w:fldCharType="separate"/>
      </w:r>
      <w:r w:rsidR="00820675" w:rsidRPr="00820675">
        <w:rPr>
          <w:rFonts w:cs="Times New Roman"/>
          <w:kern w:val="0"/>
          <w:vertAlign w:val="superscript"/>
        </w:rPr>
        <w:t>[21]</w:t>
      </w:r>
      <w:r>
        <w:fldChar w:fldCharType="end"/>
      </w:r>
      <w:r>
        <w:t>。</w:t>
      </w:r>
      <w:r>
        <w:t>Best F1</w:t>
      </w:r>
      <w:r>
        <w:t>由阈值扫描得到，避免默认阈值掩盖模型潜力。</w:t>
      </w:r>
      <w:proofErr w:type="spellStart"/>
      <w:r>
        <w:t>Hit@K</w:t>
      </w:r>
      <w:proofErr w:type="spellEnd"/>
      <w:r>
        <w:t>衡量分子内反应位点的排序能力：对每个分子取概率最高的</w:t>
      </w:r>
      <w:r>
        <w:t>K</w:t>
      </w:r>
      <w:r>
        <w:t>个原子，若至少有一个与真实正类重合则计</w:t>
      </w:r>
      <w:r>
        <w:t>1</w:t>
      </w:r>
      <w:r>
        <w:t>，否则计</w:t>
      </w:r>
      <w:r>
        <w:t>0</w:t>
      </w:r>
      <w:r>
        <w:t>，最终对全部分子取平均；在反应位点筛选与后续机理验证中，</w:t>
      </w:r>
      <w:r>
        <w:t>Hit@1</w:t>
      </w:r>
      <w:r>
        <w:t>与</w:t>
      </w:r>
      <w:r>
        <w:t>Hit@3</w:t>
      </w:r>
      <w:r>
        <w:t>具有明确的工程含义。</w:t>
      </w:r>
    </w:p>
    <w:p w14:paraId="626020B1" w14:textId="7E471C67" w:rsidR="00793432" w:rsidRDefault="00000000">
      <w:pPr>
        <w:ind w:firstLineChars="0"/>
      </w:pPr>
      <w:r>
        <w:t>鉴于</w:t>
      </w:r>
      <w:r>
        <w:t xml:space="preserve"> 138 </w:t>
      </w:r>
      <w:r>
        <w:t>条分子样本规模较小，本文对每种特征</w:t>
      </w:r>
      <w:r>
        <w:t>—</w:t>
      </w:r>
      <w:r>
        <w:t>模型组合均运行</w:t>
      </w:r>
      <w:r>
        <w:t xml:space="preserve"> 5 </w:t>
      </w:r>
      <w:r>
        <w:t>个固定随机种子，以均值作为汇总指标，标准差作为不确定性参考。在论文图表中，柱状图给出均值</w:t>
      </w:r>
      <w:r>
        <w:t>±</w:t>
      </w:r>
      <w:r>
        <w:t>标准差，结论中以均值为重点；对涨跌幅度的解读保持谨慎，仅以正向趋势、下降趋势或无明显变化等定性表述刻画结果</w:t>
      </w:r>
      <w:r>
        <w:fldChar w:fldCharType="begin"/>
      </w:r>
      <w:r>
        <w:instrText xml:space="preserve"> ADDIN ZOTERO_ITEM CSL_CITATION {"citationID":"mCVQsNxq","properties":{"formattedCitation":"\\super [23]\\nosupersub{}","plainCitation":"[23]","noteIndex":0},"citationItems":[{"id":76,"uris":["http://zotero.org/users/20482611/items/ATE47N35"],"itemData":{"id":76,"type":"article-journal","abstract":"Characterizing uncertainty in machine learning models has recently gained interest in the context of machine learning reliability, robustness, safety, and active learning. Here, we separate the total uncertainty into contributions from noise in the data (aleatoric) and shortcomings of the model (epistemic), further dividing epistemic uncertainty into model bias and variance contributions. We systematically address the influence of noise, model bias, and model variance in the context of chemical property predictions, where the diverse nature of target properties and the vast chemical chemical space give rise to many different distinct sources of prediction error. We demonstrate that different sources of error can each be significant in different contexts and must be individually addressed during model development. Through controlled experiments on data sets of molecular properties, we show important trends in model performance associated with the level of noise in the data set, size of the data set, model architecture, molecule representation, ensemble size, and data set splitting. In particular, we show that 1) noise in the test set can limit a model’s observed performance when the actual performance is much better, 2) using size-extensive model aggregation structures is crucial for extensive property prediction, and 3) ensembling is a reliable tool for uncertainty quantification and improvement specifically for the contribution of model variance. We develop general guidelines on how to improve an underperforming model when falling into different uncertainty contexts.","citation-key":"heidCharacterizingUncertaintyMachine2023","container-title":"Journal of Chemical Information and Modeling","DOI":"10.1021/acs.jcim.3c00373","ISSN":"1549-9596","issue":"13","journalAbbreviation":"J. Chem. Inf. Model.","page":"4012-4029","publisher":"American Chemical Society","source":"ACS Publications","title":"Characterizing Uncertainty in Machine Learning for Chemistry","volume":"63","author":[{"family":"Heid","given":"Esther"},{"family":"McGill","given":"Charles J."},{"family":"Vermeire","given":"Florence H."},{"family":"Green","given":"William H."}],"issued":{"date-parts":[["2023",7,10]]}}}],"schema":"https://github.com/citation-style-language/schema/raw/master/csl-citation.json"} </w:instrText>
      </w:r>
      <w:r>
        <w:fldChar w:fldCharType="separate"/>
      </w:r>
      <w:r w:rsidR="00820675" w:rsidRPr="00820675">
        <w:rPr>
          <w:rFonts w:cs="Times New Roman"/>
          <w:kern w:val="0"/>
          <w:vertAlign w:val="superscript"/>
        </w:rPr>
        <w:t>[23]</w:t>
      </w:r>
      <w:r>
        <w:fldChar w:fldCharType="end"/>
      </w:r>
      <w:r>
        <w:t>，避免对小样本指标过度推断。</w:t>
      </w:r>
    </w:p>
    <w:p w14:paraId="1CD30B62" w14:textId="77777777" w:rsidR="00793432" w:rsidRDefault="00000000">
      <w:pPr>
        <w:spacing w:line="400" w:lineRule="atLeast"/>
        <w:sectPr w:rsidR="00793432">
          <w:headerReference w:type="default" r:id="rId27"/>
          <w:pgSz w:w="11906" w:h="16838"/>
          <w:pgMar w:top="1440" w:right="1797" w:bottom="1440" w:left="1797" w:header="850" w:footer="992" w:gutter="0"/>
          <w:cols w:space="720"/>
        </w:sectPr>
      </w:pPr>
      <w:r>
        <w:br w:type="page"/>
      </w:r>
    </w:p>
    <w:p w14:paraId="67686359" w14:textId="77777777" w:rsidR="00793432" w:rsidRDefault="00000000">
      <w:pPr>
        <w:pStyle w:val="1"/>
        <w:spacing w:line="360" w:lineRule="auto"/>
        <w:ind w:firstLine="643"/>
      </w:pPr>
      <w:bookmarkStart w:id="10" w:name="_Toc21093"/>
      <w:bookmarkStart w:id="11" w:name="_Hlk230987738"/>
      <w:r>
        <w:lastRenderedPageBreak/>
        <w:t>第</w:t>
      </w:r>
      <w:r>
        <w:t>3</w:t>
      </w:r>
      <w:r>
        <w:t>章数据集构建与特征工程</w:t>
      </w:r>
      <w:bookmarkEnd w:id="10"/>
    </w:p>
    <w:p w14:paraId="2AB848BE" w14:textId="77777777" w:rsidR="00793432" w:rsidRDefault="00000000">
      <w:pPr>
        <w:pStyle w:val="2"/>
        <w:spacing w:line="360" w:lineRule="auto"/>
        <w:ind w:firstLine="562"/>
      </w:pPr>
      <w:bookmarkStart w:id="12" w:name="_Toc13912"/>
      <w:bookmarkEnd w:id="11"/>
      <w:r>
        <w:t>3.1</w:t>
      </w:r>
      <w:r>
        <w:t>数据来源与样本整理</w:t>
      </w:r>
      <w:bookmarkEnd w:id="12"/>
    </w:p>
    <w:p w14:paraId="7ACB5AB7" w14:textId="77777777" w:rsidR="00793432" w:rsidRDefault="00000000">
      <w:r>
        <w:t>本文数据由两部分组成：一是经过量子化学计算与一致性审计的酚类及相关芳香污染物样本，用于小样本机理描述符分析；二是公开反应位点数据中的大规模结构样本，用于检验结构特征和传统机器学习模型在较大数据规模下的表现。两类数据分别服务于机理解释和规模对照，避免把不同来源、不同特征深度的数据直接混同。</w:t>
      </w:r>
    </w:p>
    <w:p w14:paraId="66641970" w14:textId="77777777" w:rsidR="00793432" w:rsidRDefault="00000000">
      <w:r>
        <w:t xml:space="preserve">Gaussian-138 </w:t>
      </w:r>
      <w:r>
        <w:t>数据集面向酚类及相关芳香污染物，分子来源于</w:t>
      </w:r>
      <w:r>
        <w:t xml:space="preserve"> USPTO-50k </w:t>
      </w:r>
      <w:r>
        <w:t>反应数据集。首先按</w:t>
      </w:r>
      <w:r>
        <w:t xml:space="preserve"> SMARTS </w:t>
      </w:r>
      <w:r>
        <w:t>匹配筛选酚类候选分子，随后由</w:t>
      </w:r>
      <w:r>
        <w:t xml:space="preserve"> </w:t>
      </w:r>
      <w:proofErr w:type="spellStart"/>
      <w:r>
        <w:t>RDKit</w:t>
      </w:r>
      <w:proofErr w:type="spellEnd"/>
      <w:r>
        <w:t xml:space="preserve"> </w:t>
      </w:r>
      <w:r>
        <w:t>构建初始三维结构（</w:t>
      </w:r>
      <w:proofErr w:type="spellStart"/>
      <w:r>
        <w:t>AddHs</w:t>
      </w:r>
      <w:proofErr w:type="spellEnd"/>
      <w:r>
        <w:t xml:space="preserve"> + ETKDG + UFF </w:t>
      </w:r>
      <w:r>
        <w:t>预优化），再以</w:t>
      </w:r>
      <w:r>
        <w:t xml:space="preserve"> Gaussian </w:t>
      </w:r>
      <w:r>
        <w:t>完成几何优化与频率分析，并在统一级别下进行单点计算。几何优化与频率分析采用</w:t>
      </w:r>
      <w:r>
        <w:t xml:space="preserve"> B3LYP/6-31G(</w:t>
      </w:r>
      <w:proofErr w:type="spellStart"/>
      <w:r>
        <w:t>d,p</w:t>
      </w:r>
      <w:proofErr w:type="spellEnd"/>
      <w:r>
        <w:t>)</w:t>
      </w:r>
      <w:r>
        <w:t>（</w:t>
      </w:r>
      <w:r>
        <w:t xml:space="preserve"># opt </w:t>
      </w:r>
      <w:proofErr w:type="spellStart"/>
      <w:r>
        <w:t>freq</w:t>
      </w:r>
      <w:proofErr w:type="spellEnd"/>
      <w:r>
        <w:t xml:space="preserve"> B3LYP/6-31G(</w:t>
      </w:r>
      <w:proofErr w:type="spellStart"/>
      <w:r>
        <w:t>d,p</w:t>
      </w:r>
      <w:proofErr w:type="spellEnd"/>
      <w:r>
        <w:t>) integral=ultrafine</w:t>
      </w:r>
      <w:r>
        <w:t>），单点计算采用</w:t>
      </w:r>
      <w:r>
        <w:t xml:space="preserve"> M06-2X/def2-TZVP</w:t>
      </w:r>
      <w:r>
        <w:t>（</w:t>
      </w:r>
      <w:r>
        <w:t xml:space="preserve"># </w:t>
      </w:r>
      <w:proofErr w:type="spellStart"/>
      <w:r>
        <w:t>sp</w:t>
      </w:r>
      <w:proofErr w:type="spellEnd"/>
      <w:r>
        <w:t xml:space="preserve"> M06-2X/def2-TZVP pop=</w:t>
      </w:r>
      <w:proofErr w:type="spellStart"/>
      <w:r>
        <w:t>npa</w:t>
      </w:r>
      <w:proofErr w:type="spellEnd"/>
      <w:r>
        <w:t>），并补充阴</w:t>
      </w:r>
      <w:r>
        <w:t>/</w:t>
      </w:r>
      <w:r>
        <w:t>阳离子态的同级别单点用于</w:t>
      </w:r>
      <w:r>
        <w:t xml:space="preserve"> Fukui </w:t>
      </w:r>
      <w:r>
        <w:t>三态计算。最终纳入建模的样本共</w:t>
      </w:r>
      <w:r>
        <w:t xml:space="preserve"> 138 </w:t>
      </w:r>
      <w:r>
        <w:t>个分子，对应</w:t>
      </w:r>
      <w:r>
        <w:t xml:space="preserve"> 2509 </w:t>
      </w:r>
      <w:r>
        <w:t>个重原子，其中正类反应位点原子</w:t>
      </w:r>
      <w:r>
        <w:t xml:space="preserve"> 283 </w:t>
      </w:r>
      <w:r>
        <w:t>个，正类比例约为</w:t>
      </w:r>
      <w:r>
        <w:t xml:space="preserve"> 11.3%</w:t>
      </w:r>
      <w:r>
        <w:t>。</w:t>
      </w:r>
    </w:p>
    <w:p w14:paraId="2930BA60" w14:textId="77777777" w:rsidR="00793432" w:rsidRDefault="00000000">
      <w:r>
        <w:t>数据审计不仅检查</w:t>
      </w:r>
      <w:r>
        <w:t>Gaussian</w:t>
      </w:r>
      <w:r>
        <w:t>日志是否正常终止，还进一步核查频率结果、</w:t>
      </w:r>
      <w:r>
        <w:t>SCF</w:t>
      </w:r>
      <w:r>
        <w:t>收敛状态、电荷布居信息、偶极矩信息及原子元素序列。对于出现虚拟原子残留、元素映射不完整或解析缺失的样本，均在进入建模前进行修正或剔除。该流程保证后续特征矩阵能够真实反映分子结构和电子结构信息。</w:t>
      </w:r>
    </w:p>
    <w:p w14:paraId="4D6AC2CD" w14:textId="77777777" w:rsidR="00793432" w:rsidRDefault="00000000">
      <w:r>
        <w:t>样本对齐采用唯一分子标识、</w:t>
      </w:r>
      <w:r>
        <w:t>SMILES</w:t>
      </w:r>
      <w:r>
        <w:t>元素组成和重原子顺序三重约束。对同一来源编号下存在多条候选结构的样本，优先选择元素组成与</w:t>
      </w:r>
      <w:r>
        <w:t>Gaussian</w:t>
      </w:r>
      <w:r>
        <w:t>输入完全一致的结构；若原子顺序存在差异，则依据元素序列进行一致性检查。最终纳入建模的</w:t>
      </w:r>
      <w:r>
        <w:t>138</w:t>
      </w:r>
      <w:r>
        <w:t>条样本均达到原子级对齐要求。</w:t>
      </w:r>
    </w:p>
    <w:p w14:paraId="13C008B8" w14:textId="77777777" w:rsidR="00793432" w:rsidRDefault="00000000">
      <w:r>
        <w:t>原子顺序是原子级描述符能否可靠使用的关键条件。本文以</w:t>
      </w:r>
      <w:proofErr w:type="spellStart"/>
      <w:r>
        <w:t>RDKit</w:t>
      </w:r>
      <w:proofErr w:type="spellEnd"/>
      <w:r>
        <w:t>加氢后的原子序列和</w:t>
      </w:r>
      <w:r>
        <w:t>Gaussian</w:t>
      </w:r>
      <w:r>
        <w:t>坐标中的元素序列为主要参照，对每条样本逐一比较元素类型和重原子数量。当元素序列完全一致时，量子化学原子级值可直接写入对应原子；当不一致时，样本需重新核查，避免标签与描述符错位。</w:t>
      </w:r>
    </w:p>
    <w:p w14:paraId="491B30F1" w14:textId="77777777" w:rsidR="00793432" w:rsidRDefault="00000000">
      <w:r>
        <w:t>Fukui</w:t>
      </w:r>
      <w:r>
        <w:t>描述符通过中性、加电子和失电子三种电子数状态下的电荷差分得到。</w:t>
      </w:r>
      <w:r>
        <w:lastRenderedPageBreak/>
        <w:t>138</w:t>
      </w:r>
      <w:r>
        <w:t>个样本中有</w:t>
      </w:r>
      <w:r>
        <w:t>136</w:t>
      </w:r>
      <w:r>
        <w:t>个完成三态计算并可直接生成</w:t>
      </w:r>
      <w:r>
        <w:t>Fukui</w:t>
      </w:r>
      <w:r>
        <w:t>特征，另有</w:t>
      </w:r>
      <w:r>
        <w:t>2</w:t>
      </w:r>
      <w:r>
        <w:t>个样本在阳离子态下未能收敛。为保持数据划分一致性，未收敛样本没有从总体中删除，而是以缺失标志区分其</w:t>
      </w:r>
      <w:r>
        <w:t>Fukui</w:t>
      </w:r>
      <w:r>
        <w:t>特征可用性。</w:t>
      </w:r>
    </w:p>
    <w:p w14:paraId="33316CF0" w14:textId="77777777" w:rsidR="00793432" w:rsidRDefault="00000000">
      <w:r>
        <w:t>数据完整性检查最终纳入建模的</w:t>
      </w:r>
      <w:r>
        <w:t>138</w:t>
      </w:r>
      <w:r>
        <w:t>个样本均通过原子对齐检查，</w:t>
      </w:r>
      <w:r>
        <w:t>NPA</w:t>
      </w:r>
      <w:r>
        <w:t>与</w:t>
      </w:r>
      <w:r>
        <w:t>Mulliken</w:t>
      </w:r>
      <w:r>
        <w:t>电荷不存在缺失值；</w:t>
      </w:r>
      <w:r>
        <w:t>Fukui</w:t>
      </w:r>
      <w:r>
        <w:t>特征中</w:t>
      </w:r>
      <w:r>
        <w:t>136</w:t>
      </w:r>
      <w:r>
        <w:t>个样本完整可用，</w:t>
      </w:r>
      <w:r>
        <w:t>2</w:t>
      </w:r>
      <w:r>
        <w:t>个样本以缺失标志处理。这一质量控制结果是后续模型比较和特征消融能够成立的前提。</w:t>
      </w:r>
    </w:p>
    <w:p w14:paraId="0A2CEF6F" w14:textId="77777777" w:rsidR="00793432" w:rsidRDefault="00000000">
      <w:pPr>
        <w:pStyle w:val="2"/>
        <w:spacing w:line="360" w:lineRule="auto"/>
        <w:ind w:firstLine="562"/>
      </w:pPr>
      <w:bookmarkStart w:id="13" w:name="_Toc1515"/>
      <w:r>
        <w:t>3.2Gaussian-138</w:t>
      </w:r>
      <w:r>
        <w:t>特征矩阵</w:t>
      </w:r>
      <w:bookmarkEnd w:id="13"/>
    </w:p>
    <w:p w14:paraId="78EA2A4C" w14:textId="77777777" w:rsidR="00793432" w:rsidRDefault="00000000">
      <w:r>
        <w:t>最终</w:t>
      </w:r>
      <w:r>
        <w:t>Gaussian-138</w:t>
      </w:r>
      <w:r>
        <w:t>数据集包含</w:t>
      </w:r>
      <w:r>
        <w:t>138</w:t>
      </w:r>
      <w:r>
        <w:t>个分子、</w:t>
      </w:r>
      <w:r>
        <w:t>2509</w:t>
      </w:r>
      <w:r>
        <w:t>个重原子样本和</w:t>
      </w:r>
      <w:r>
        <w:t>283</w:t>
      </w:r>
      <w:r>
        <w:t>个正类反应位点原子。所有样本的原子顺序与电荷特征均通过一致性检查，</w:t>
      </w:r>
      <w:r>
        <w:t>NPA</w:t>
      </w:r>
      <w:r>
        <w:t>和</w:t>
      </w:r>
      <w:r>
        <w:t>Mulliken</w:t>
      </w:r>
      <w:r>
        <w:t>电荷可直接用于模型训练与横向对比分析。</w:t>
      </w:r>
    </w:p>
    <w:p w14:paraId="4A658F8F" w14:textId="77777777" w:rsidR="00793432" w:rsidRDefault="00000000">
      <w:proofErr w:type="spellStart"/>
      <w:r>
        <w:t>Chemprop</w:t>
      </w:r>
      <w:proofErr w:type="spellEnd"/>
      <w:r>
        <w:t>建模时，</w:t>
      </w:r>
      <w:r>
        <w:t>Gaussian</w:t>
      </w:r>
      <w:r>
        <w:t>原子级描述符来源于加氢后的分子结构，而反应位点标签仅对应重原子。为保证输入特征与标签一一对应，本文仅保留与重原子数量一致的原子描述符行用于建模。该处理建立在数据审计结果之上，可避免氢原子描述符进入标签不匹配的模型输入。</w:t>
      </w:r>
    </w:p>
    <w:p w14:paraId="354134CC" w14:textId="77777777" w:rsidR="00793432" w:rsidRDefault="00000000">
      <w:r>
        <w:t>传统机器学习实验将每个重原子展开为独立样本。原子级特征包括</w:t>
      </w:r>
      <w:r>
        <w:t xml:space="preserve"> </w:t>
      </w:r>
      <w:proofErr w:type="spellStart"/>
      <w:r>
        <w:t>RDKit</w:t>
      </w:r>
      <w:proofErr w:type="spellEnd"/>
      <w:r>
        <w:t xml:space="preserve"> </w:t>
      </w:r>
      <w:r>
        <w:t>局部结构特征、</w:t>
      </w:r>
      <w:r>
        <w:t xml:space="preserve">NPA </w:t>
      </w:r>
      <w:r>
        <w:t>电荷、</w:t>
      </w:r>
      <w:r>
        <w:t xml:space="preserve">Mulliken </w:t>
      </w:r>
      <w:r>
        <w:t>电荷及可选派生电荷特征；分子级</w:t>
      </w:r>
      <w:r>
        <w:t xml:space="preserve"> Gaussian </w:t>
      </w:r>
      <w:r>
        <w:t>量则在部分扩展实验中以全局特征拼接至每个原子样本上。为公平对比</w:t>
      </w:r>
      <w:r>
        <w:t xml:space="preserve"> </w:t>
      </w:r>
      <w:proofErr w:type="spellStart"/>
      <w:r>
        <w:t>Chemprop</w:t>
      </w:r>
      <w:proofErr w:type="spellEnd"/>
      <w:r>
        <w:t xml:space="preserve"> </w:t>
      </w:r>
      <w:r>
        <w:t>与传统机器学习，本文严格区分仅含原子级</w:t>
      </w:r>
      <w:r>
        <w:t xml:space="preserve"> Gaussian </w:t>
      </w:r>
      <w:r>
        <w:t>的口径与包含分子级</w:t>
      </w:r>
      <w:r>
        <w:t xml:space="preserve"> Gaussian </w:t>
      </w:r>
      <w:r>
        <w:t>标量的扩展口径。</w:t>
      </w:r>
    </w:p>
    <w:p w14:paraId="21933367" w14:textId="77777777" w:rsidR="00793432" w:rsidRDefault="00000000">
      <w:r>
        <w:t>数据质量诊断记录每个样本的日志终止状态、</w:t>
      </w:r>
      <w:r>
        <w:t>SCF</w:t>
      </w:r>
      <w:r>
        <w:t>收敛状态、</w:t>
      </w:r>
      <w:r>
        <w:t>Gaussian</w:t>
      </w:r>
      <w:r>
        <w:t>与</w:t>
      </w:r>
      <w:proofErr w:type="spellStart"/>
      <w:r>
        <w:t>RDKit</w:t>
      </w:r>
      <w:proofErr w:type="spellEnd"/>
      <w:r>
        <w:t>原子数量、元素序列一致性和解析异常情况。在最终样本中，</w:t>
      </w:r>
      <w:r>
        <w:t>SCF</w:t>
      </w:r>
      <w:r>
        <w:t>计算和关键电荷解析均满足建模要求，未发现会影响训练的系统性缺失。这种逐样本诊断减少了小样本研究中由个别异常记录造成的偏差。</w:t>
      </w:r>
    </w:p>
    <w:p w14:paraId="2727C039" w14:textId="77777777" w:rsidR="00793432" w:rsidRDefault="00000000">
      <w:r>
        <w:t>对于旧数据整理过程中可能产生的冗余或重复字段，本文仅保留具有明确物理含义且可追溯的变量。例如偶极矩统一保留为单一分子级标量，避免把重复记录的分量误认为独立描述符。其余来源标识和批次信息仅用于审计，不参与模型训练。</w:t>
      </w:r>
    </w:p>
    <w:p w14:paraId="3B062153" w14:textId="77777777" w:rsidR="00793432" w:rsidRDefault="00793432"/>
    <w:p w14:paraId="75394617" w14:textId="77777777" w:rsidR="00793432" w:rsidRDefault="00793432">
      <w:pPr>
        <w:ind w:firstLineChars="0" w:firstLine="0"/>
      </w:pPr>
    </w:p>
    <w:p w14:paraId="3142D180" w14:textId="77777777" w:rsidR="00793432" w:rsidRDefault="00000000">
      <w:pPr>
        <w:jc w:val="center"/>
      </w:pPr>
      <w:r>
        <w:rPr>
          <w:noProof/>
        </w:rPr>
        <w:lastRenderedPageBreak/>
        <w:drawing>
          <wp:inline distT="0" distB="0" distL="114300" distR="114300" wp14:anchorId="5E2E7492" wp14:editId="373ADCEE">
            <wp:extent cx="5029200" cy="3974465"/>
            <wp:effectExtent l="0" t="0" r="0" b="3175"/>
            <wp:docPr id="9029" name="Picture 9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 name="Picture 9029"/>
                    <pic:cNvPicPr>
                      <a:picLocks noChangeAspect="1"/>
                    </pic:cNvPicPr>
                  </pic:nvPicPr>
                  <pic:blipFill>
                    <a:blip r:embed="rId28"/>
                    <a:stretch>
                      <a:fillRect/>
                    </a:stretch>
                  </pic:blipFill>
                  <pic:spPr>
                    <a:xfrm>
                      <a:off x="0" y="0"/>
                      <a:ext cx="5029200" cy="3975006"/>
                    </a:xfrm>
                    <a:prstGeom prst="rect">
                      <a:avLst/>
                    </a:prstGeom>
                  </pic:spPr>
                </pic:pic>
              </a:graphicData>
            </a:graphic>
          </wp:inline>
        </w:drawing>
      </w:r>
    </w:p>
    <w:p w14:paraId="6B6BD9C3" w14:textId="77777777" w:rsidR="00793432" w:rsidRDefault="00000000">
      <w:pPr>
        <w:pStyle w:val="a3"/>
        <w:ind w:firstLine="422"/>
        <w:rPr>
          <w:rFonts w:ascii="宋体" w:hAnsi="宋体" w:cs="宋体"/>
          <w:bCs/>
          <w:szCs w:val="21"/>
        </w:rPr>
      </w:pPr>
      <w:r>
        <w:rPr>
          <w:rFonts w:ascii="Times New Roman" w:hAnsi="Times New Roman" w:cs="宋体" w:hint="eastAsia"/>
          <w:bCs/>
          <w:szCs w:val="21"/>
        </w:rPr>
        <w:t>图</w:t>
      </w:r>
      <w:r>
        <w:rPr>
          <w:rFonts w:ascii="Times New Roman" w:hAnsi="Times New Roman" w:cs="宋体" w:hint="eastAsia"/>
          <w:bCs/>
          <w:szCs w:val="21"/>
        </w:rPr>
        <w:t>3-1 Gaussian-138</w:t>
      </w:r>
      <w:r>
        <w:rPr>
          <w:rFonts w:ascii="Times New Roman" w:hAnsi="Times New Roman" w:cs="宋体" w:hint="eastAsia"/>
          <w:bCs/>
          <w:szCs w:val="21"/>
        </w:rPr>
        <w:t>数据集构建与切分流程</w:t>
      </w:r>
    </w:p>
    <w:p w14:paraId="1B6A3192" w14:textId="77777777" w:rsidR="00793432" w:rsidRDefault="00000000">
      <w:r>
        <w:t>Gaussian-138</w:t>
      </w:r>
      <w:r>
        <w:t>数据集同时采用固定宽度表和变长原子描述符矩阵两种组织方式。固定宽度表按第</w:t>
      </w:r>
      <w:r>
        <w:t>1</w:t>
      </w:r>
      <w:r>
        <w:t>至第</w:t>
      </w:r>
      <w:r>
        <w:t>100</w:t>
      </w:r>
      <w:r>
        <w:t>个重原子依次保存</w:t>
      </w:r>
      <w:r>
        <w:t>NPA</w:t>
      </w:r>
      <w:r>
        <w:t>和</w:t>
      </w:r>
      <w:r>
        <w:t>Mulliken</w:t>
      </w:r>
      <w:r>
        <w:t>电荷，便于传统机器学习模型读取；变长矩阵则按每个分子的实际重原子数保存原子描述符，便于</w:t>
      </w:r>
      <w:proofErr w:type="spellStart"/>
      <w:r>
        <w:t>Chemprop</w:t>
      </w:r>
      <w:proofErr w:type="spellEnd"/>
      <w:r>
        <w:t>等图模型调用。两种格式描述同一批样本，只是服务于不同模型接口。</w:t>
      </w:r>
    </w:p>
    <w:p w14:paraId="53FC736C" w14:textId="77777777" w:rsidR="00793432" w:rsidRDefault="00000000">
      <w:pPr>
        <w:pStyle w:val="2"/>
        <w:spacing w:line="360" w:lineRule="auto"/>
        <w:ind w:firstLine="562"/>
      </w:pPr>
      <w:bookmarkStart w:id="14" w:name="_Toc17698"/>
      <w:r>
        <w:t>3.3</w:t>
      </w:r>
      <w:r>
        <w:t>酚类</w:t>
      </w:r>
      <w:r>
        <w:t>SMILES</w:t>
      </w:r>
      <w:r>
        <w:t>特征构建</w:t>
      </w:r>
      <w:bookmarkEnd w:id="14"/>
    </w:p>
    <w:p w14:paraId="16E4D7B8" w14:textId="1A8F3D02" w:rsidR="00793432" w:rsidRDefault="00000000">
      <w:r>
        <w:t>鉴于课题目标聚焦于酚类污染物，本文在通用结构特征之外补充酚类领域特征。特征提取方法依据</w:t>
      </w:r>
      <w:r>
        <w:t>SMILES</w:t>
      </w:r>
      <w:r>
        <w:t>识别酚羟基、酚氧原子、酚环原子及取代基类型，并计算原子相对酚羟基的邻位、间位与对位关系</w:t>
      </w:r>
      <w:r>
        <w:fldChar w:fldCharType="begin"/>
      </w:r>
      <w:r>
        <w:instrText xml:space="preserve"> ADDIN ZOTERO_ITEM CSL_CITATION {"citationID":"iSknhpVO","properties":{"formattedCitation":"\\super [15,14]\\nosupersub{}","plainCitation":"[15,14]","noteIndex":0},"citationItems":[{"id":70,"uris":["http://zotero.org/users/20482611/items/64HIHHW5"],"itemData":{"id":70,"type":"webpage","citation-key":"QuantitativeStructureProperty","title":"Quantitative structure–property relationship of the photoelectrochemical oxidation of phenolic pollutants at modified nanoporous titanium oxide using supervised machine learning - Physical Chemistry Chemical Physics (RSC Publishing)","URL":"https://pubs.rsc.org/en/content/articlelanding/2020/cp/d0cp01518k/unauth","accessed":{"date-parts":[["2026",5,30]]}}},{"id":59,"uris":["http://zotero.org/users/20482611/items/6IZQC5U4"],"itemData":{"id":59,"type":"article-journal","citation-key":"yangUseGlobalLocal1986","container-title":"Journal of the American Chemical Society","issue":"19","note":"ISBN: 0002-7863","page":"5708-5711","publisher":"ACS Publications","title":"The use of global and local molecular parameters for the analysis of the gas-phase basicity of amines","volume":"108","author":[{"family":"Yang","given":"Weitao"},{"family":"Mortier","given":"Wilfried J."}],"issued":{"date-parts":[["1986"]]}}}],"schema":"https://github.com/citation-style-language/schema/raw/master/csl-citation.json"} </w:instrText>
      </w:r>
      <w:r>
        <w:fldChar w:fldCharType="separate"/>
      </w:r>
      <w:r w:rsidR="00820675" w:rsidRPr="00820675">
        <w:rPr>
          <w:rFonts w:cs="Times New Roman"/>
          <w:kern w:val="0"/>
          <w:vertAlign w:val="superscript"/>
        </w:rPr>
        <w:t>[15,14]</w:t>
      </w:r>
      <w:r>
        <w:fldChar w:fldCharType="end"/>
      </w:r>
      <w:r>
        <w:t>。对于自由基反应位点预测而言，上述关系能够直接表达芳香环上电子效应与空间效应的基本模式。</w:t>
      </w:r>
    </w:p>
    <w:p w14:paraId="64346D62" w14:textId="77777777" w:rsidR="00793432" w:rsidRDefault="00000000">
      <w:r>
        <w:t>具体领域特征包括酚羟基数量、酚氧标志、酚环原子标志、邻位</w:t>
      </w:r>
      <w:r>
        <w:t>/</w:t>
      </w:r>
      <w:r>
        <w:t>间位</w:t>
      </w:r>
      <w:r>
        <w:t>/</w:t>
      </w:r>
      <w:r>
        <w:t>对位标志、到酚羟基的最短环距离、邻位取代数量、给电子取代基数量、吸电子取代基数量、卤素取代数量、甲氧基取代数量、硝基取代数量和羰基取代数量等。在部分实验中，进一步加入</w:t>
      </w:r>
      <w:r>
        <w:t>NPA</w:t>
      </w:r>
      <w:r>
        <w:t>和</w:t>
      </w:r>
      <w:r>
        <w:t>Mulliken</w:t>
      </w:r>
      <w:r>
        <w:t>电荷绝对值，用于表达原子局部电荷</w:t>
      </w:r>
      <w:r>
        <w:lastRenderedPageBreak/>
        <w:t>偏离程度。</w:t>
      </w:r>
    </w:p>
    <w:p w14:paraId="4A5523A4" w14:textId="77777777" w:rsidR="00793432" w:rsidRDefault="00000000">
      <w:r>
        <w:t>上述特征工程的意义在于将酚类化学经验转化为模型可使用的数值信息。相较单纯增加训练轮数或调整深度模型超参数，领域特征更直接对应本课题的污染物类型与反应机理背景。实验结果亦表明，酚类</w:t>
      </w:r>
      <w:r>
        <w:t xml:space="preserve"> SMILES </w:t>
      </w:r>
      <w:r>
        <w:t>特征对传统机器学习与</w:t>
      </w:r>
      <w:r>
        <w:t xml:space="preserve"> </w:t>
      </w:r>
      <w:proofErr w:type="spellStart"/>
      <w:r>
        <w:t>Chemprop</w:t>
      </w:r>
      <w:proofErr w:type="spellEnd"/>
      <w:r>
        <w:t xml:space="preserve"> </w:t>
      </w:r>
      <w:r>
        <w:t>均具有正向作用。</w:t>
      </w:r>
    </w:p>
    <w:p w14:paraId="3F4518A7" w14:textId="77777777" w:rsidR="00793432" w:rsidRDefault="00000000">
      <w:r>
        <w:t>酚类领域特征首先识别芳香环上的酚羟基结构，再沿芳香环计算各原子相对酚羟基的位置关系。给电子与吸电子取代基的统计依据常见官能团模式完成，包括羟基、甲氧基、氨基、硝基、羰基、卤素和氰基等。该处理将环境化学中常用的取代基效应转化为模型可使用的数值变量。</w:t>
      </w:r>
    </w:p>
    <w:p w14:paraId="58CFA2D9" w14:textId="77777777" w:rsidR="00793432" w:rsidRDefault="00000000">
      <w:r>
        <w:t>酚类领域特征的意义在于把化学经验显式提供给模型。相较单纯增加训练轮数或调整深度模型超参数，领域特征更直接对应本课题的污染物类型与反应机理背景。实验显示，单独加入酚类结构特征即可将</w:t>
      </w:r>
      <w:r>
        <w:t>Random Forest PRC</w:t>
      </w:r>
      <w:r>
        <w:t>由</w:t>
      </w:r>
      <w:r>
        <w:t>0.8256</w:t>
      </w:r>
      <w:r>
        <w:t>提升至</w:t>
      </w:r>
      <w:r>
        <w:t>0.8396</w:t>
      </w:r>
      <w:r>
        <w:t>，与</w:t>
      </w:r>
      <w:r>
        <w:t>NPA/Mulliken</w:t>
      </w:r>
      <w:r>
        <w:t>绝对电荷联用后进一步提升至</w:t>
      </w:r>
      <w:r>
        <w:t>0.8585</w:t>
      </w:r>
      <w:r>
        <w:t>，构成传统机器学习侧较为稳健的最优组合。对</w:t>
      </w:r>
      <w:proofErr w:type="spellStart"/>
      <w:r>
        <w:t>Chemprop</w:t>
      </w:r>
      <w:proofErr w:type="spellEnd"/>
      <w:r>
        <w:t>而言，酚类结构特征与</w:t>
      </w:r>
      <w:r>
        <w:t>Fukui</w:t>
      </w:r>
      <w:r>
        <w:t>、</w:t>
      </w:r>
      <w:r>
        <w:t>NICS</w:t>
      </w:r>
      <w:r>
        <w:t>等反应性描述符联用后表现更优，说明结构先验与量子化学响应信息具有互补价值。</w:t>
      </w:r>
    </w:p>
    <w:p w14:paraId="30A7330D" w14:textId="77777777" w:rsidR="00793432" w:rsidRDefault="00000000">
      <w:pPr>
        <w:pStyle w:val="2"/>
        <w:spacing w:line="360" w:lineRule="auto"/>
        <w:ind w:firstLine="562"/>
      </w:pPr>
      <w:bookmarkStart w:id="15" w:name="_Toc23832"/>
      <w:r>
        <w:t>3.4Fukui</w:t>
      </w:r>
      <w:r>
        <w:t>特征解析与缺失处理</w:t>
      </w:r>
      <w:bookmarkEnd w:id="15"/>
    </w:p>
    <w:p w14:paraId="195E59DC" w14:textId="77777777" w:rsidR="00793432" w:rsidRDefault="00000000">
      <w:r>
        <w:t>Fukui</w:t>
      </w:r>
      <w:r>
        <w:t>特征通过中性、加电子和失电子体系的电荷差分得到，可更直接刻画原子的局部反应性。本文将亲电</w:t>
      </w:r>
      <w:r>
        <w:t>Fukui</w:t>
      </w:r>
      <w:r>
        <w:t>函数、亲核</w:t>
      </w:r>
      <w:r>
        <w:t>Fukui</w:t>
      </w:r>
      <w:r>
        <w:t>函数、中性自由基响应和双描述符等量写入原子级特征矩阵，并同时记录每个样本的三态计算是否完整可用。</w:t>
      </w:r>
    </w:p>
    <w:p w14:paraId="53AA021F" w14:textId="77777777" w:rsidR="00793432" w:rsidRDefault="00000000">
      <w:r>
        <w:t>审计结果显示，</w:t>
      </w:r>
      <w:r>
        <w:t>136</w:t>
      </w:r>
      <w:r>
        <w:t>个样本的</w:t>
      </w:r>
      <w:r>
        <w:t>Fukui</w:t>
      </w:r>
      <w:r>
        <w:t>三态计算完整可用，</w:t>
      </w:r>
      <w:r>
        <w:t>2</w:t>
      </w:r>
      <w:r>
        <w:t>个样本在失电子状态下未能正常收敛。为保持数据划分一致性，建模时未删除失败样本，而是将其</w:t>
      </w:r>
      <w:r>
        <w:t>Fukui</w:t>
      </w:r>
      <w:r>
        <w:t>特征以缺失状态处理，并加入可用性标志。该处理可使模型区分真实零值与缺失补齐，避免少量失败样本破坏整体实验可比性。</w:t>
      </w:r>
    </w:p>
    <w:p w14:paraId="3C2037C1" w14:textId="77777777" w:rsidR="00793432" w:rsidRDefault="00000000">
      <w:r>
        <w:t xml:space="preserve">Fukui </w:t>
      </w:r>
      <w:r>
        <w:t>特征的引入亦体现了本文对量子化学与机器学习结合方式的进一步探索。</w:t>
      </w:r>
      <w:r>
        <w:t xml:space="preserve">NPA </w:t>
      </w:r>
      <w:r>
        <w:t>与</w:t>
      </w:r>
      <w:r>
        <w:t xml:space="preserve"> Mulliken </w:t>
      </w:r>
      <w:r>
        <w:t>电荷描述的是单一电子结构状态，而</w:t>
      </w:r>
      <w:r>
        <w:t xml:space="preserve"> Fukui </w:t>
      </w:r>
      <w:r>
        <w:t>指数描述的是电子数变化下的响应趋势，因此更接近亲电或亲核反应倾向。实验结果表明，</w:t>
      </w:r>
      <w:r>
        <w:t xml:space="preserve">Fukui </w:t>
      </w:r>
      <w:r>
        <w:t>特征对</w:t>
      </w:r>
      <w:r>
        <w:t xml:space="preserve"> </w:t>
      </w:r>
      <w:proofErr w:type="spellStart"/>
      <w:r>
        <w:t>Chemprop</w:t>
      </w:r>
      <w:proofErr w:type="spellEnd"/>
      <w:r>
        <w:t xml:space="preserve"> </w:t>
      </w:r>
      <w:r>
        <w:t>的提升更为明显，但在当前小样本条件下未能进一步提</w:t>
      </w:r>
      <w:r>
        <w:lastRenderedPageBreak/>
        <w:t>升传统</w:t>
      </w:r>
      <w:r>
        <w:t xml:space="preserve"> Random Forest </w:t>
      </w:r>
      <w:r>
        <w:t>的最优</w:t>
      </w:r>
      <w:r>
        <w:t xml:space="preserve"> PRC</w:t>
      </w:r>
      <w:r>
        <w:t>。</w:t>
      </w:r>
    </w:p>
    <w:p w14:paraId="30BC2242" w14:textId="77777777" w:rsidR="00793432" w:rsidRDefault="00000000">
      <w:pPr>
        <w:jc w:val="center"/>
      </w:pPr>
      <w:r>
        <w:rPr>
          <w:noProof/>
        </w:rPr>
        <w:drawing>
          <wp:inline distT="0" distB="0" distL="114300" distR="114300" wp14:anchorId="683A72C5" wp14:editId="2551E761">
            <wp:extent cx="5120640" cy="3364230"/>
            <wp:effectExtent l="0" t="0" r="0" b="3810"/>
            <wp:docPr id="9030" name="Picture 9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 name="Picture 9030"/>
                    <pic:cNvPicPr>
                      <a:picLocks noChangeAspect="1"/>
                    </pic:cNvPicPr>
                  </pic:nvPicPr>
                  <pic:blipFill>
                    <a:blip r:embed="rId29"/>
                    <a:stretch>
                      <a:fillRect/>
                    </a:stretch>
                  </pic:blipFill>
                  <pic:spPr>
                    <a:xfrm>
                      <a:off x="0" y="0"/>
                      <a:ext cx="5120640" cy="3364232"/>
                    </a:xfrm>
                    <a:prstGeom prst="rect">
                      <a:avLst/>
                    </a:prstGeom>
                  </pic:spPr>
                </pic:pic>
              </a:graphicData>
            </a:graphic>
          </wp:inline>
        </w:drawing>
      </w:r>
    </w:p>
    <w:p w14:paraId="3C7B0575" w14:textId="77777777" w:rsidR="00793432" w:rsidRDefault="00000000">
      <w:pPr>
        <w:pStyle w:val="a3"/>
        <w:ind w:firstLine="422"/>
        <w:rPr>
          <w:rFonts w:ascii="宋体" w:hAnsi="宋体" w:cs="宋体"/>
          <w:bCs/>
          <w:szCs w:val="21"/>
        </w:rPr>
      </w:pPr>
      <w:r>
        <w:rPr>
          <w:rFonts w:ascii="Times New Roman" w:hAnsi="Times New Roman" w:cs="宋体" w:hint="eastAsia"/>
          <w:bCs/>
          <w:szCs w:val="21"/>
        </w:rPr>
        <w:t>图</w:t>
      </w:r>
      <w:r>
        <w:rPr>
          <w:rFonts w:ascii="Times New Roman" w:hAnsi="Times New Roman" w:cs="宋体" w:hint="eastAsia"/>
          <w:bCs/>
          <w:szCs w:val="21"/>
        </w:rPr>
        <w:t>3-2 Fukui</w:t>
      </w:r>
      <w:r>
        <w:rPr>
          <w:rFonts w:ascii="Times New Roman" w:hAnsi="Times New Roman" w:cs="宋体" w:hint="eastAsia"/>
          <w:bCs/>
          <w:szCs w:val="21"/>
        </w:rPr>
        <w:t>三态计算与特征解析流程</w:t>
      </w:r>
    </w:p>
    <w:p w14:paraId="039B35C3" w14:textId="77777777" w:rsidR="00793432" w:rsidRDefault="00793432">
      <w:pPr>
        <w:spacing w:line="400" w:lineRule="atLeast"/>
        <w:ind w:firstLineChars="0" w:firstLine="0"/>
        <w:sectPr w:rsidR="00793432">
          <w:headerReference w:type="default" r:id="rId30"/>
          <w:pgSz w:w="11906" w:h="16838"/>
          <w:pgMar w:top="1440" w:right="1797" w:bottom="1440" w:left="1797" w:header="850" w:footer="992" w:gutter="0"/>
          <w:cols w:space="720"/>
        </w:sectPr>
      </w:pPr>
    </w:p>
    <w:p w14:paraId="746A3900" w14:textId="77777777" w:rsidR="00793432" w:rsidRDefault="00000000">
      <w:pPr>
        <w:pStyle w:val="1"/>
        <w:spacing w:line="360" w:lineRule="auto"/>
        <w:ind w:firstLine="643"/>
      </w:pPr>
      <w:bookmarkStart w:id="16" w:name="_Toc13840"/>
      <w:r>
        <w:lastRenderedPageBreak/>
        <w:t>第</w:t>
      </w:r>
      <w:r>
        <w:t>4</w:t>
      </w:r>
      <w:r>
        <w:t>章反应位点预测模型构建</w:t>
      </w:r>
      <w:bookmarkEnd w:id="16"/>
    </w:p>
    <w:p w14:paraId="2A19B9ED" w14:textId="77777777" w:rsidR="00793432" w:rsidRDefault="00000000">
      <w:pPr>
        <w:pStyle w:val="2"/>
        <w:spacing w:line="360" w:lineRule="auto"/>
        <w:ind w:firstLine="562"/>
      </w:pPr>
      <w:bookmarkStart w:id="17" w:name="_Toc9099"/>
      <w:r>
        <w:t>4.1</w:t>
      </w:r>
      <w:r>
        <w:t>实验设计与实现环境</w:t>
      </w:r>
      <w:bookmarkEnd w:id="17"/>
    </w:p>
    <w:p w14:paraId="37FE7591" w14:textId="77777777" w:rsidR="00793432" w:rsidRDefault="00000000">
      <w:r>
        <w:t>实验在</w:t>
      </w:r>
      <w:r>
        <w:t>Python</w:t>
      </w:r>
      <w:r>
        <w:t>环境下完成，主要使用</w:t>
      </w:r>
      <w:proofErr w:type="spellStart"/>
      <w:r>
        <w:t>Chemprop</w:t>
      </w:r>
      <w:proofErr w:type="spellEnd"/>
      <w:r>
        <w:t>、</w:t>
      </w:r>
      <w:proofErr w:type="spellStart"/>
      <w:r>
        <w:t>RDKit</w:t>
      </w:r>
      <w:proofErr w:type="spellEnd"/>
      <w:r>
        <w:t>、</w:t>
      </w:r>
      <w:r>
        <w:t>scikit-learn</w:t>
      </w:r>
      <w:r>
        <w:t>、</w:t>
      </w:r>
      <w:r>
        <w:t>NumPy</w:t>
      </w:r>
      <w:r>
        <w:t>、</w:t>
      </w:r>
      <w:r>
        <w:t>Pandas</w:t>
      </w:r>
      <w:r>
        <w:t>和</w:t>
      </w:r>
      <w:r>
        <w:t>Matplotlib</w:t>
      </w:r>
      <w:r>
        <w:t>等工具。</w:t>
      </w:r>
      <w:proofErr w:type="spellStart"/>
      <w:r>
        <w:t>Chemprop</w:t>
      </w:r>
      <w:proofErr w:type="spellEnd"/>
      <w:r>
        <w:t>用于图神经网络建模，</w:t>
      </w:r>
      <w:r>
        <w:t>scikit-learn</w:t>
      </w:r>
      <w:r>
        <w:t>用于传统机器学习模型训练与指标计算，</w:t>
      </w:r>
      <w:proofErr w:type="spellStart"/>
      <w:r>
        <w:t>RDKit</w:t>
      </w:r>
      <w:proofErr w:type="spellEnd"/>
      <w:r>
        <w:t>用于结构解析和领域特征提取。实现环境的作用是保证各模型在相同数据划分、相同特征组合和相同评价指标下进行比较。</w:t>
      </w:r>
    </w:p>
    <w:p w14:paraId="37F1058E" w14:textId="77777777" w:rsidR="00793432" w:rsidRDefault="00000000">
      <w:r>
        <w:t>实验流程将特征工程、数据划分、模型训练和结果汇总分离。特征工程阶段生成通用结构特征、酚类领域特征、</w:t>
      </w:r>
      <w:r>
        <w:t>Gaussian</w:t>
      </w:r>
      <w:r>
        <w:t>电荷、</w:t>
      </w:r>
      <w:r>
        <w:t>Fukui</w:t>
      </w:r>
      <w:r>
        <w:t>特征和</w:t>
      </w:r>
      <w:r>
        <w:t>NICS</w:t>
      </w:r>
      <w:r>
        <w:t>特征；数据划分阶段按分子而非按原子分组；模型训练阶段分别运行</w:t>
      </w:r>
      <w:proofErr w:type="spellStart"/>
      <w:r>
        <w:t>Chemprop</w:t>
      </w:r>
      <w:proofErr w:type="spellEnd"/>
      <w:r>
        <w:t>和传统机器学习模型；结果汇总阶段统一计算原子级</w:t>
      </w:r>
      <w:r>
        <w:t>PRC</w:t>
      </w:r>
      <w:r>
        <w:t>、</w:t>
      </w:r>
      <w:r>
        <w:t>Best F1</w:t>
      </w:r>
      <w:r>
        <w:t>及分子级</w:t>
      </w:r>
      <w:proofErr w:type="spellStart"/>
      <w:r>
        <w:t>Hit@K</w:t>
      </w:r>
      <w:proofErr w:type="spellEnd"/>
      <w:r>
        <w:t>指标。</w:t>
      </w:r>
    </w:p>
    <w:p w14:paraId="346EF62C" w14:textId="77777777" w:rsidR="00793432" w:rsidRDefault="00000000">
      <w:r>
        <w:t>为保证结果可复现，本文固定特征组合定义、随机种子、分子级划分比例和评价指标，并保存每次实验的模型配置、预测概率和汇总结果。这种记录方式使论文中的主要数值可以由实验设置反向核查，但相关记录只作为研究复现依据，不作为正文叙述的重点。</w:t>
      </w:r>
    </w:p>
    <w:p w14:paraId="1FE6CACE" w14:textId="77777777" w:rsidR="00793432" w:rsidRDefault="00000000">
      <w:pPr>
        <w:pStyle w:val="2"/>
        <w:spacing w:line="360" w:lineRule="auto"/>
        <w:ind w:firstLine="562"/>
      </w:pPr>
      <w:bookmarkStart w:id="18" w:name="_Toc8484"/>
      <w:r>
        <w:t>4.2Chemprop</w:t>
      </w:r>
      <w:r>
        <w:t>建模流程</w:t>
      </w:r>
      <w:bookmarkEnd w:id="18"/>
    </w:p>
    <w:p w14:paraId="73FF0BFC" w14:textId="77777777" w:rsidR="00793432" w:rsidRDefault="00000000">
      <w:proofErr w:type="spellStart"/>
      <w:r>
        <w:t>Chemprop</w:t>
      </w:r>
      <w:proofErr w:type="spellEnd"/>
      <w:r>
        <w:t>模型以分子图为基础输入，并可附加原子级描述符。本文在</w:t>
      </w:r>
      <w:r>
        <w:t>Gaussian-138</w:t>
      </w:r>
      <w:r>
        <w:t>数据集上比较了基准训练、加入</w:t>
      </w:r>
      <w:r>
        <w:t>Dropout</w:t>
      </w:r>
      <w:r>
        <w:t>并降低学习率、延长训练轮数三种设置。综合五个随机种子下的</w:t>
      </w:r>
      <w:r>
        <w:t>PRC</w:t>
      </w:r>
      <w:r>
        <w:t>、</w:t>
      </w:r>
      <w:r>
        <w:t>Best F1</w:t>
      </w:r>
      <w:r>
        <w:t>与</w:t>
      </w:r>
      <w:proofErr w:type="spellStart"/>
      <w:r>
        <w:t>Hit@K</w:t>
      </w:r>
      <w:proofErr w:type="spellEnd"/>
      <w:r>
        <w:t>结果，三种设置之间差异不稳定，说明在</w:t>
      </w:r>
      <w:r>
        <w:t>138</w:t>
      </w:r>
      <w:r>
        <w:t>个分子的小样本条件下，训练强度并不是主要瓶颈；相比继续增加训练轮数，补充有效样本和更贴近反应机理的原子描述符更具价值。</w:t>
      </w:r>
      <w:r>
        <w:t>[4,6,23]</w:t>
      </w:r>
    </w:p>
    <w:p w14:paraId="1A7BC9DF" w14:textId="77777777" w:rsidR="00793432" w:rsidRDefault="00000000">
      <w:r>
        <w:t>在特征口径上，</w:t>
      </w:r>
      <w:proofErr w:type="spellStart"/>
      <w:r>
        <w:t>Chemprop</w:t>
      </w:r>
      <w:proofErr w:type="spellEnd"/>
      <w:r>
        <w:t>与传统机器学习均采用十四组统一组合，包括无附加量子化学特征、仅原始</w:t>
      </w:r>
      <w:r>
        <w:t>Gaussian</w:t>
      </w:r>
      <w:r>
        <w:t>电荷、仅绝对</w:t>
      </w:r>
      <w:r>
        <w:t>Gaussian</w:t>
      </w:r>
      <w:r>
        <w:t>电荷、仅酚类结构特征、仅</w:t>
      </w:r>
      <w:r>
        <w:t>Fukui</w:t>
      </w:r>
      <w:r>
        <w:t>特征、仅</w:t>
      </w:r>
      <w:r>
        <w:t>NICS</w:t>
      </w:r>
      <w:r>
        <w:t>特征、酚类结构</w:t>
      </w:r>
      <w:r>
        <w:t>+</w:t>
      </w:r>
      <w:r>
        <w:t>绝对电荷、酚类结构</w:t>
      </w:r>
      <w:r>
        <w:t>+Fukui</w:t>
      </w:r>
      <w:r>
        <w:t>、酚类结构</w:t>
      </w:r>
      <w:r>
        <w:t>+NICS</w:t>
      </w:r>
      <w:r>
        <w:t>、酚类结构</w:t>
      </w:r>
      <w:r>
        <w:t>+</w:t>
      </w:r>
      <w:r>
        <w:t>绝对电荷</w:t>
      </w:r>
      <w:r>
        <w:t>+Fukui</w:t>
      </w:r>
      <w:r>
        <w:t>、酚类结构</w:t>
      </w:r>
      <w:r>
        <w:t>+</w:t>
      </w:r>
      <w:r>
        <w:t>绝对电荷</w:t>
      </w:r>
      <w:r>
        <w:t>+NICS</w:t>
      </w:r>
      <w:r>
        <w:t>、酚类结构</w:t>
      </w:r>
      <w:r>
        <w:t>+</w:t>
      </w:r>
      <w:proofErr w:type="spellStart"/>
      <w:r>
        <w:t>Fukui+NICS</w:t>
      </w:r>
      <w:proofErr w:type="spellEnd"/>
      <w:r>
        <w:t>、酚类结构</w:t>
      </w:r>
      <w:r>
        <w:t>-</w:t>
      </w:r>
      <w:r>
        <w:t>绝对电荷</w:t>
      </w:r>
      <w:r>
        <w:t>-Fukui-NICS</w:t>
      </w:r>
      <w:r>
        <w:t>全融合，以及按规则选择的最优融合组合。该命名方式更直接对应特征含义，避免将程序变量名作为论文术语。</w:t>
      </w:r>
    </w:p>
    <w:p w14:paraId="19FC254A" w14:textId="77777777" w:rsidR="00793432" w:rsidRDefault="00000000">
      <w:proofErr w:type="spellStart"/>
      <w:r>
        <w:lastRenderedPageBreak/>
        <w:t>Chemprop</w:t>
      </w:r>
      <w:proofErr w:type="spellEnd"/>
      <w:r>
        <w:t>以</w:t>
      </w:r>
      <w:r>
        <w:t>SMILES</w:t>
      </w:r>
      <w:r>
        <w:t>分子图、原子级反应位点标签和外部原子描述符为输入。训练时保持原子顺序与描述符顺序一致，并以验证损失作为模型选择依据。训练轮数设置为</w:t>
      </w:r>
      <w:r>
        <w:t>30</w:t>
      </w:r>
      <w:r>
        <w:t>轮或</w:t>
      </w:r>
      <w:r>
        <w:t>100</w:t>
      </w:r>
      <w:r>
        <w:t>轮，部分配置加入</w:t>
      </w:r>
      <w:r>
        <w:t>dropout</w:t>
      </w:r>
      <w:r>
        <w:t>并降低最大学习率，用于观察小样本条件下训练强度和正则化对结果的影响。</w:t>
      </w:r>
    </w:p>
    <w:p w14:paraId="792F40FA" w14:textId="77777777" w:rsidR="00793432" w:rsidRDefault="00000000">
      <w:r>
        <w:t>模型选择指标对小样本结果具有直接影响。本文以验证损失作为保存最优模型的依据，使保存模型与训练曲线保持一致；</w:t>
      </w:r>
      <w:r>
        <w:t>PRC</w:t>
      </w:r>
      <w:r>
        <w:t>、</w:t>
      </w:r>
      <w:r>
        <w:t>Best F1</w:t>
      </w:r>
      <w:r>
        <w:t>和</w:t>
      </w:r>
      <w:proofErr w:type="spellStart"/>
      <w:r>
        <w:t>Hit@K</w:t>
      </w:r>
      <w:proofErr w:type="spellEnd"/>
      <w:r>
        <w:t>则用于训练完成后的性能评价。这种处理避免把尚未充分训练的模型状态误作为最终结果，也使不同训练配置之间具有可比性。</w:t>
      </w:r>
    </w:p>
    <w:p w14:paraId="24DCA065" w14:textId="77777777" w:rsidR="00793432" w:rsidRDefault="00000000">
      <w:pPr>
        <w:pStyle w:val="2"/>
        <w:spacing w:line="360" w:lineRule="auto"/>
        <w:ind w:firstLine="562"/>
      </w:pPr>
      <w:bookmarkStart w:id="19" w:name="_Toc2219"/>
      <w:r>
        <w:t>4.3</w:t>
      </w:r>
      <w:r>
        <w:t>传统机器学习建模流程</w:t>
      </w:r>
      <w:bookmarkEnd w:id="19"/>
    </w:p>
    <w:p w14:paraId="3F0219FC" w14:textId="77777777" w:rsidR="00793432" w:rsidRDefault="00000000">
      <w:pPr>
        <w:pStyle w:val="a3"/>
        <w:ind w:firstLine="422"/>
      </w:pPr>
      <w:r>
        <w:rPr>
          <w:rFonts w:ascii="Times New Roman" w:hAnsi="Times New Roman"/>
        </w:rPr>
        <w:t>表</w:t>
      </w:r>
      <w:r>
        <w:rPr>
          <w:rFonts w:ascii="Times New Roman" w:hAnsi="Times New Roman"/>
        </w:rPr>
        <w:t xml:space="preserve">4-1 </w:t>
      </w:r>
      <w:proofErr w:type="spellStart"/>
      <w:r>
        <w:rPr>
          <w:rFonts w:ascii="Times New Roman" w:hAnsi="Times New Roman"/>
        </w:rPr>
        <w:t>Chemprop</w:t>
      </w:r>
      <w:proofErr w:type="spellEnd"/>
      <w:r>
        <w:rPr>
          <w:rFonts w:ascii="Times New Roman" w:hAnsi="Times New Roman"/>
        </w:rPr>
        <w:t>训练关键超参数</w:t>
      </w:r>
    </w:p>
    <w:tbl>
      <w:tblPr>
        <w:tblStyle w:val="aa"/>
        <w:tblW w:w="0" w:type="auto"/>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695"/>
        <w:gridCol w:w="1341"/>
        <w:gridCol w:w="1334"/>
        <w:gridCol w:w="1402"/>
        <w:gridCol w:w="1318"/>
        <w:gridCol w:w="1222"/>
      </w:tblGrid>
      <w:tr w:rsidR="00793432" w14:paraId="3FD5852D" w14:textId="77777777">
        <w:trPr>
          <w:jc w:val="center"/>
        </w:trPr>
        <w:tc>
          <w:tcPr>
            <w:tcW w:w="1600" w:type="dxa"/>
            <w:tcBorders>
              <w:top w:val="single" w:sz="12" w:space="0" w:color="auto"/>
              <w:left w:val="nil"/>
              <w:bottom w:val="nil"/>
              <w:right w:val="nil"/>
            </w:tcBorders>
            <w:tcMar>
              <w:top w:w="-1" w:type="dxa"/>
              <w:left w:w="-1" w:type="dxa"/>
              <w:bottom w:w="-1" w:type="dxa"/>
              <w:right w:w="-1" w:type="dxa"/>
            </w:tcMar>
            <w:vAlign w:val="center"/>
          </w:tcPr>
          <w:p w14:paraId="4EABA379" w14:textId="77777777" w:rsidR="00793432" w:rsidRDefault="00000000">
            <w:pPr>
              <w:spacing w:line="288" w:lineRule="auto"/>
              <w:ind w:firstLine="360"/>
              <w:jc w:val="center"/>
            </w:pPr>
            <w:r>
              <w:rPr>
                <w:sz w:val="18"/>
              </w:rPr>
              <w:t>训练设置</w:t>
            </w:r>
          </w:p>
        </w:tc>
        <w:tc>
          <w:tcPr>
            <w:tcW w:w="1600" w:type="dxa"/>
            <w:tcBorders>
              <w:top w:val="single" w:sz="12" w:space="0" w:color="auto"/>
              <w:left w:val="nil"/>
              <w:bottom w:val="nil"/>
              <w:right w:val="nil"/>
            </w:tcBorders>
            <w:tcMar>
              <w:top w:w="-1" w:type="dxa"/>
              <w:left w:w="-1" w:type="dxa"/>
              <w:bottom w:w="-1" w:type="dxa"/>
              <w:right w:w="-1" w:type="dxa"/>
            </w:tcMar>
            <w:vAlign w:val="center"/>
          </w:tcPr>
          <w:p w14:paraId="29AB4B60" w14:textId="77777777" w:rsidR="00793432" w:rsidRDefault="00000000">
            <w:pPr>
              <w:spacing w:line="288" w:lineRule="auto"/>
              <w:ind w:firstLineChars="0" w:firstLine="0"/>
              <w:jc w:val="center"/>
            </w:pPr>
            <w:r>
              <w:rPr>
                <w:sz w:val="18"/>
              </w:rPr>
              <w:t>训练轮数</w:t>
            </w:r>
          </w:p>
        </w:tc>
        <w:tc>
          <w:tcPr>
            <w:tcW w:w="1600" w:type="dxa"/>
            <w:tcBorders>
              <w:top w:val="single" w:sz="12" w:space="0" w:color="auto"/>
              <w:left w:val="nil"/>
              <w:bottom w:val="nil"/>
              <w:right w:val="nil"/>
            </w:tcBorders>
            <w:tcMar>
              <w:top w:w="-1" w:type="dxa"/>
              <w:left w:w="-1" w:type="dxa"/>
              <w:bottom w:w="-1" w:type="dxa"/>
              <w:right w:w="-1" w:type="dxa"/>
            </w:tcMar>
            <w:vAlign w:val="center"/>
          </w:tcPr>
          <w:p w14:paraId="2B77635D" w14:textId="77777777" w:rsidR="00793432" w:rsidRDefault="00000000">
            <w:pPr>
              <w:spacing w:line="288" w:lineRule="auto"/>
              <w:ind w:firstLineChars="0" w:firstLine="0"/>
              <w:jc w:val="center"/>
            </w:pPr>
            <w:r>
              <w:rPr>
                <w:sz w:val="18"/>
              </w:rPr>
              <w:t>Dropout</w:t>
            </w:r>
          </w:p>
        </w:tc>
        <w:tc>
          <w:tcPr>
            <w:tcW w:w="1600" w:type="dxa"/>
            <w:tcBorders>
              <w:top w:val="single" w:sz="12" w:space="0" w:color="auto"/>
              <w:left w:val="nil"/>
              <w:bottom w:val="nil"/>
              <w:right w:val="nil"/>
            </w:tcBorders>
            <w:tcMar>
              <w:top w:w="-1" w:type="dxa"/>
              <w:left w:w="-1" w:type="dxa"/>
              <w:bottom w:w="-1" w:type="dxa"/>
              <w:right w:w="-1" w:type="dxa"/>
            </w:tcMar>
            <w:vAlign w:val="center"/>
          </w:tcPr>
          <w:p w14:paraId="1E2BB730" w14:textId="77777777" w:rsidR="00793432" w:rsidRDefault="00000000">
            <w:pPr>
              <w:spacing w:line="288" w:lineRule="auto"/>
              <w:ind w:firstLineChars="0" w:firstLine="0"/>
              <w:jc w:val="center"/>
            </w:pPr>
            <w:r>
              <w:rPr>
                <w:sz w:val="18"/>
              </w:rPr>
              <w:t>最大学习率</w:t>
            </w:r>
          </w:p>
        </w:tc>
        <w:tc>
          <w:tcPr>
            <w:tcW w:w="1600" w:type="dxa"/>
            <w:tcBorders>
              <w:top w:val="single" w:sz="12" w:space="0" w:color="auto"/>
              <w:left w:val="nil"/>
              <w:bottom w:val="nil"/>
              <w:right w:val="nil"/>
            </w:tcBorders>
            <w:tcMar>
              <w:top w:w="-1" w:type="dxa"/>
              <w:left w:w="-1" w:type="dxa"/>
              <w:bottom w:w="-1" w:type="dxa"/>
              <w:right w:w="-1" w:type="dxa"/>
            </w:tcMar>
            <w:vAlign w:val="center"/>
          </w:tcPr>
          <w:p w14:paraId="0E1F5C18" w14:textId="77777777" w:rsidR="00793432" w:rsidRDefault="00000000">
            <w:pPr>
              <w:spacing w:line="288" w:lineRule="auto"/>
              <w:ind w:firstLineChars="0" w:firstLine="0"/>
              <w:jc w:val="center"/>
            </w:pPr>
            <w:r>
              <w:rPr>
                <w:sz w:val="18"/>
              </w:rPr>
              <w:t>早停耐心</w:t>
            </w:r>
          </w:p>
        </w:tc>
        <w:tc>
          <w:tcPr>
            <w:tcW w:w="1600" w:type="dxa"/>
            <w:tcBorders>
              <w:top w:val="single" w:sz="12" w:space="0" w:color="auto"/>
              <w:left w:val="nil"/>
              <w:bottom w:val="nil"/>
              <w:right w:val="nil"/>
            </w:tcBorders>
            <w:tcMar>
              <w:top w:w="-1" w:type="dxa"/>
              <w:left w:w="-1" w:type="dxa"/>
              <w:bottom w:w="-1" w:type="dxa"/>
              <w:right w:w="-1" w:type="dxa"/>
            </w:tcMar>
            <w:vAlign w:val="center"/>
          </w:tcPr>
          <w:p w14:paraId="641CCC46" w14:textId="77777777" w:rsidR="00793432" w:rsidRDefault="00000000">
            <w:pPr>
              <w:spacing w:line="288" w:lineRule="auto"/>
              <w:ind w:firstLineChars="0" w:firstLine="0"/>
              <w:jc w:val="center"/>
            </w:pPr>
            <w:r>
              <w:rPr>
                <w:sz w:val="18"/>
              </w:rPr>
              <w:t>模型选择指标</w:t>
            </w:r>
          </w:p>
        </w:tc>
      </w:tr>
      <w:tr w:rsidR="00793432" w14:paraId="38275DB0" w14:textId="77777777">
        <w:trPr>
          <w:jc w:val="center"/>
        </w:trPr>
        <w:tc>
          <w:tcPr>
            <w:tcW w:w="1941" w:type="dxa"/>
            <w:tcBorders>
              <w:top w:val="single" w:sz="4" w:space="0" w:color="auto"/>
              <w:left w:val="nil"/>
              <w:bottom w:val="nil"/>
              <w:right w:val="nil"/>
            </w:tcBorders>
            <w:tcMar>
              <w:top w:w="-1" w:type="dxa"/>
              <w:left w:w="-1" w:type="dxa"/>
              <w:bottom w:w="-1" w:type="dxa"/>
              <w:right w:w="-1" w:type="dxa"/>
            </w:tcMar>
            <w:vAlign w:val="center"/>
          </w:tcPr>
          <w:p w14:paraId="7D62F0D3" w14:textId="77777777" w:rsidR="00793432" w:rsidRDefault="00000000">
            <w:pPr>
              <w:spacing w:line="288" w:lineRule="auto"/>
              <w:ind w:firstLine="360"/>
              <w:jc w:val="center"/>
            </w:pPr>
            <w:r>
              <w:rPr>
                <w:sz w:val="18"/>
              </w:rPr>
              <w:t>基准训练</w:t>
            </w:r>
          </w:p>
        </w:tc>
        <w:tc>
          <w:tcPr>
            <w:tcW w:w="1191" w:type="dxa"/>
            <w:tcBorders>
              <w:top w:val="single" w:sz="4" w:space="0" w:color="auto"/>
              <w:left w:val="nil"/>
              <w:bottom w:val="nil"/>
              <w:right w:val="nil"/>
            </w:tcBorders>
            <w:tcMar>
              <w:top w:w="-1" w:type="dxa"/>
              <w:left w:w="-1" w:type="dxa"/>
              <w:bottom w:w="-1" w:type="dxa"/>
              <w:right w:w="-1" w:type="dxa"/>
            </w:tcMar>
            <w:vAlign w:val="center"/>
          </w:tcPr>
          <w:p w14:paraId="57BDDAEB" w14:textId="77777777" w:rsidR="00793432" w:rsidRDefault="00000000">
            <w:pPr>
              <w:spacing w:line="288" w:lineRule="auto"/>
              <w:ind w:firstLine="360"/>
              <w:jc w:val="center"/>
            </w:pPr>
            <w:r>
              <w:rPr>
                <w:sz w:val="18"/>
              </w:rPr>
              <w:t>30</w:t>
            </w:r>
          </w:p>
        </w:tc>
        <w:tc>
          <w:tcPr>
            <w:tcW w:w="1298" w:type="dxa"/>
            <w:tcBorders>
              <w:top w:val="single" w:sz="4" w:space="0" w:color="auto"/>
              <w:left w:val="nil"/>
              <w:bottom w:val="nil"/>
              <w:right w:val="nil"/>
            </w:tcBorders>
            <w:tcMar>
              <w:top w:w="-1" w:type="dxa"/>
              <w:left w:w="-1" w:type="dxa"/>
              <w:bottom w:w="-1" w:type="dxa"/>
              <w:right w:w="-1" w:type="dxa"/>
            </w:tcMar>
            <w:vAlign w:val="center"/>
          </w:tcPr>
          <w:p w14:paraId="29844469" w14:textId="4451B02E" w:rsidR="00793432" w:rsidRDefault="00A8518D">
            <w:pPr>
              <w:spacing w:line="288" w:lineRule="auto"/>
              <w:ind w:firstLine="360"/>
              <w:jc w:val="center"/>
            </w:pPr>
            <w:r>
              <w:rPr>
                <w:rFonts w:hint="eastAsia"/>
                <w:sz w:val="18"/>
              </w:rPr>
              <w:t>0.0</w:t>
            </w:r>
          </w:p>
        </w:tc>
        <w:tc>
          <w:tcPr>
            <w:tcW w:w="1224" w:type="dxa"/>
            <w:tcBorders>
              <w:top w:val="single" w:sz="4" w:space="0" w:color="auto"/>
              <w:left w:val="nil"/>
              <w:bottom w:val="nil"/>
              <w:right w:val="nil"/>
            </w:tcBorders>
            <w:tcMar>
              <w:top w:w="-1" w:type="dxa"/>
              <w:left w:w="-1" w:type="dxa"/>
              <w:bottom w:w="-1" w:type="dxa"/>
              <w:right w:w="-1" w:type="dxa"/>
            </w:tcMar>
            <w:vAlign w:val="center"/>
          </w:tcPr>
          <w:p w14:paraId="52413E38" w14:textId="72E51728" w:rsidR="00793432" w:rsidRDefault="00A8518D">
            <w:pPr>
              <w:spacing w:line="288" w:lineRule="auto"/>
              <w:ind w:firstLine="360"/>
              <w:jc w:val="center"/>
            </w:pPr>
            <w:r>
              <w:rPr>
                <w:rFonts w:hint="eastAsia"/>
                <w:sz w:val="18"/>
              </w:rPr>
              <w:t>0.001</w:t>
            </w:r>
          </w:p>
        </w:tc>
        <w:tc>
          <w:tcPr>
            <w:tcW w:w="1324" w:type="dxa"/>
            <w:tcBorders>
              <w:top w:val="single" w:sz="4" w:space="0" w:color="auto"/>
              <w:left w:val="nil"/>
              <w:bottom w:val="nil"/>
              <w:right w:val="nil"/>
            </w:tcBorders>
            <w:tcMar>
              <w:top w:w="-1" w:type="dxa"/>
              <w:left w:w="-1" w:type="dxa"/>
              <w:bottom w:w="-1" w:type="dxa"/>
              <w:right w:w="-1" w:type="dxa"/>
            </w:tcMar>
            <w:vAlign w:val="center"/>
          </w:tcPr>
          <w:p w14:paraId="2BFCCE86" w14:textId="20379B1D" w:rsidR="00793432" w:rsidRPr="00126233" w:rsidRDefault="00126233">
            <w:pPr>
              <w:spacing w:line="288" w:lineRule="auto"/>
              <w:ind w:firstLine="360"/>
              <w:jc w:val="center"/>
              <w:rPr>
                <w:sz w:val="18"/>
                <w:szCs w:val="18"/>
              </w:rPr>
            </w:pPr>
            <w:r w:rsidRPr="00126233">
              <w:rPr>
                <w:rFonts w:hint="eastAsia"/>
                <w:sz w:val="18"/>
                <w:szCs w:val="18"/>
              </w:rPr>
              <w:t>不启用</w:t>
            </w:r>
          </w:p>
        </w:tc>
        <w:tc>
          <w:tcPr>
            <w:tcW w:w="1334" w:type="dxa"/>
            <w:tcBorders>
              <w:top w:val="single" w:sz="4" w:space="0" w:color="auto"/>
              <w:left w:val="nil"/>
              <w:bottom w:val="nil"/>
              <w:right w:val="nil"/>
            </w:tcBorders>
            <w:tcMar>
              <w:top w:w="-1" w:type="dxa"/>
              <w:left w:w="-1" w:type="dxa"/>
              <w:bottom w:w="-1" w:type="dxa"/>
              <w:right w:w="-1" w:type="dxa"/>
            </w:tcMar>
            <w:vAlign w:val="center"/>
          </w:tcPr>
          <w:p w14:paraId="1C8BBEE7" w14:textId="77777777" w:rsidR="00793432" w:rsidRDefault="00000000">
            <w:pPr>
              <w:spacing w:line="288" w:lineRule="auto"/>
              <w:ind w:firstLineChars="0" w:firstLine="0"/>
              <w:jc w:val="center"/>
            </w:pPr>
            <w:r>
              <w:rPr>
                <w:sz w:val="18"/>
              </w:rPr>
              <w:t>验证损失</w:t>
            </w:r>
          </w:p>
        </w:tc>
      </w:tr>
      <w:tr w:rsidR="00793432" w14:paraId="19C7413C" w14:textId="77777777">
        <w:trPr>
          <w:jc w:val="center"/>
        </w:trPr>
        <w:tc>
          <w:tcPr>
            <w:tcW w:w="1941" w:type="dxa"/>
            <w:tcBorders>
              <w:top w:val="nil"/>
              <w:left w:val="nil"/>
              <w:bottom w:val="nil"/>
              <w:right w:val="nil"/>
            </w:tcBorders>
            <w:tcMar>
              <w:top w:w="-1" w:type="dxa"/>
              <w:left w:w="-1" w:type="dxa"/>
              <w:bottom w:w="-1" w:type="dxa"/>
              <w:right w:w="-1" w:type="dxa"/>
            </w:tcMar>
            <w:vAlign w:val="center"/>
          </w:tcPr>
          <w:p w14:paraId="59420480" w14:textId="77777777" w:rsidR="00793432" w:rsidRDefault="00000000">
            <w:pPr>
              <w:spacing w:line="288" w:lineRule="auto"/>
              <w:ind w:firstLine="360"/>
              <w:jc w:val="center"/>
            </w:pPr>
            <w:r>
              <w:rPr>
                <w:sz w:val="18"/>
              </w:rPr>
              <w:t>Dropout-</w:t>
            </w:r>
            <w:r>
              <w:rPr>
                <w:sz w:val="18"/>
              </w:rPr>
              <w:t>低学习率</w:t>
            </w:r>
          </w:p>
        </w:tc>
        <w:tc>
          <w:tcPr>
            <w:tcW w:w="1191" w:type="dxa"/>
            <w:tcBorders>
              <w:top w:val="nil"/>
              <w:left w:val="nil"/>
              <w:bottom w:val="nil"/>
              <w:right w:val="nil"/>
            </w:tcBorders>
            <w:tcMar>
              <w:top w:w="-1" w:type="dxa"/>
              <w:left w:w="-1" w:type="dxa"/>
              <w:bottom w:w="-1" w:type="dxa"/>
              <w:right w:w="-1" w:type="dxa"/>
            </w:tcMar>
            <w:vAlign w:val="center"/>
          </w:tcPr>
          <w:p w14:paraId="54B37AFD" w14:textId="77777777" w:rsidR="00793432" w:rsidRDefault="00000000">
            <w:pPr>
              <w:spacing w:line="288" w:lineRule="auto"/>
              <w:ind w:firstLine="360"/>
              <w:jc w:val="center"/>
            </w:pPr>
            <w:r>
              <w:rPr>
                <w:sz w:val="18"/>
              </w:rPr>
              <w:t>30</w:t>
            </w:r>
          </w:p>
        </w:tc>
        <w:tc>
          <w:tcPr>
            <w:tcW w:w="1298" w:type="dxa"/>
            <w:tcBorders>
              <w:top w:val="nil"/>
              <w:left w:val="nil"/>
              <w:bottom w:val="nil"/>
              <w:right w:val="nil"/>
            </w:tcBorders>
            <w:tcMar>
              <w:top w:w="-1" w:type="dxa"/>
              <w:left w:w="-1" w:type="dxa"/>
              <w:bottom w:w="-1" w:type="dxa"/>
              <w:right w:w="-1" w:type="dxa"/>
            </w:tcMar>
            <w:vAlign w:val="center"/>
          </w:tcPr>
          <w:p w14:paraId="0482299C" w14:textId="77777777" w:rsidR="00793432" w:rsidRDefault="00000000">
            <w:pPr>
              <w:spacing w:line="288" w:lineRule="auto"/>
              <w:ind w:firstLine="360"/>
              <w:jc w:val="center"/>
            </w:pPr>
            <w:r>
              <w:rPr>
                <w:sz w:val="18"/>
              </w:rPr>
              <w:t>0.1</w:t>
            </w:r>
          </w:p>
        </w:tc>
        <w:tc>
          <w:tcPr>
            <w:tcW w:w="1224" w:type="dxa"/>
            <w:tcBorders>
              <w:top w:val="nil"/>
              <w:left w:val="nil"/>
              <w:bottom w:val="nil"/>
              <w:right w:val="nil"/>
            </w:tcBorders>
            <w:tcMar>
              <w:top w:w="-1" w:type="dxa"/>
              <w:left w:w="-1" w:type="dxa"/>
              <w:bottom w:w="-1" w:type="dxa"/>
              <w:right w:w="-1" w:type="dxa"/>
            </w:tcMar>
            <w:vAlign w:val="center"/>
          </w:tcPr>
          <w:p w14:paraId="1082F627" w14:textId="77777777" w:rsidR="00793432" w:rsidRDefault="00000000">
            <w:pPr>
              <w:spacing w:line="288" w:lineRule="auto"/>
              <w:ind w:firstLine="360"/>
              <w:jc w:val="center"/>
            </w:pPr>
            <w:r>
              <w:rPr>
                <w:sz w:val="18"/>
              </w:rPr>
              <w:t>0.0003</w:t>
            </w:r>
          </w:p>
        </w:tc>
        <w:tc>
          <w:tcPr>
            <w:tcW w:w="1324" w:type="dxa"/>
            <w:tcBorders>
              <w:top w:val="nil"/>
              <w:left w:val="nil"/>
              <w:bottom w:val="nil"/>
              <w:right w:val="nil"/>
            </w:tcBorders>
            <w:tcMar>
              <w:top w:w="-1" w:type="dxa"/>
              <w:left w:w="-1" w:type="dxa"/>
              <w:bottom w:w="-1" w:type="dxa"/>
              <w:right w:w="-1" w:type="dxa"/>
            </w:tcMar>
            <w:vAlign w:val="center"/>
          </w:tcPr>
          <w:p w14:paraId="0B29FDA7" w14:textId="0E6704D0" w:rsidR="00793432" w:rsidRDefault="00126233">
            <w:pPr>
              <w:spacing w:line="288" w:lineRule="auto"/>
              <w:ind w:firstLine="360"/>
              <w:jc w:val="center"/>
            </w:pPr>
            <w:r w:rsidRPr="00126233">
              <w:rPr>
                <w:rFonts w:hint="eastAsia"/>
                <w:sz w:val="18"/>
                <w:szCs w:val="18"/>
              </w:rPr>
              <w:t>不启用</w:t>
            </w:r>
          </w:p>
        </w:tc>
        <w:tc>
          <w:tcPr>
            <w:tcW w:w="1334" w:type="dxa"/>
            <w:tcBorders>
              <w:top w:val="nil"/>
              <w:left w:val="nil"/>
              <w:bottom w:val="nil"/>
              <w:right w:val="nil"/>
            </w:tcBorders>
            <w:tcMar>
              <w:top w:w="-1" w:type="dxa"/>
              <w:left w:w="-1" w:type="dxa"/>
              <w:bottom w:w="-1" w:type="dxa"/>
              <w:right w:w="-1" w:type="dxa"/>
            </w:tcMar>
            <w:vAlign w:val="center"/>
          </w:tcPr>
          <w:p w14:paraId="64F4AE15" w14:textId="77777777" w:rsidR="00793432" w:rsidRDefault="00000000">
            <w:pPr>
              <w:spacing w:line="288" w:lineRule="auto"/>
              <w:ind w:firstLineChars="0" w:firstLine="0"/>
              <w:jc w:val="center"/>
            </w:pPr>
            <w:r>
              <w:rPr>
                <w:sz w:val="18"/>
              </w:rPr>
              <w:t>验证损失</w:t>
            </w:r>
          </w:p>
        </w:tc>
      </w:tr>
      <w:tr w:rsidR="00793432" w14:paraId="6D64A52D" w14:textId="77777777">
        <w:trPr>
          <w:jc w:val="center"/>
        </w:trPr>
        <w:tc>
          <w:tcPr>
            <w:tcW w:w="1941" w:type="dxa"/>
            <w:tcBorders>
              <w:top w:val="nil"/>
              <w:left w:val="nil"/>
              <w:bottom w:val="single" w:sz="12" w:space="0" w:color="auto"/>
              <w:right w:val="nil"/>
            </w:tcBorders>
            <w:tcMar>
              <w:top w:w="-1" w:type="dxa"/>
              <w:left w:w="-1" w:type="dxa"/>
              <w:bottom w:w="-1" w:type="dxa"/>
              <w:right w:w="-1" w:type="dxa"/>
            </w:tcMar>
            <w:vAlign w:val="center"/>
          </w:tcPr>
          <w:p w14:paraId="0C1E59F7" w14:textId="77777777" w:rsidR="00793432" w:rsidRDefault="00000000">
            <w:pPr>
              <w:spacing w:line="288" w:lineRule="auto"/>
              <w:ind w:firstLine="360"/>
              <w:jc w:val="center"/>
            </w:pPr>
            <w:r>
              <w:rPr>
                <w:sz w:val="18"/>
              </w:rPr>
              <w:t>长轮数训练</w:t>
            </w:r>
          </w:p>
        </w:tc>
        <w:tc>
          <w:tcPr>
            <w:tcW w:w="1191" w:type="dxa"/>
            <w:tcBorders>
              <w:top w:val="nil"/>
              <w:left w:val="nil"/>
              <w:bottom w:val="single" w:sz="12" w:space="0" w:color="auto"/>
              <w:right w:val="nil"/>
            </w:tcBorders>
            <w:tcMar>
              <w:top w:w="-1" w:type="dxa"/>
              <w:left w:w="-1" w:type="dxa"/>
              <w:bottom w:w="-1" w:type="dxa"/>
              <w:right w:w="-1" w:type="dxa"/>
            </w:tcMar>
            <w:vAlign w:val="center"/>
          </w:tcPr>
          <w:p w14:paraId="036E10EE" w14:textId="77777777" w:rsidR="00793432" w:rsidRDefault="00000000">
            <w:pPr>
              <w:spacing w:line="288" w:lineRule="auto"/>
              <w:ind w:firstLine="360"/>
              <w:jc w:val="center"/>
            </w:pPr>
            <w:r>
              <w:rPr>
                <w:sz w:val="18"/>
              </w:rPr>
              <w:t>100</w:t>
            </w:r>
          </w:p>
        </w:tc>
        <w:tc>
          <w:tcPr>
            <w:tcW w:w="1298" w:type="dxa"/>
            <w:tcBorders>
              <w:top w:val="nil"/>
              <w:left w:val="nil"/>
              <w:bottom w:val="single" w:sz="12" w:space="0" w:color="auto"/>
              <w:right w:val="nil"/>
            </w:tcBorders>
            <w:tcMar>
              <w:top w:w="-1" w:type="dxa"/>
              <w:left w:w="-1" w:type="dxa"/>
              <w:bottom w:w="-1" w:type="dxa"/>
              <w:right w:w="-1" w:type="dxa"/>
            </w:tcMar>
            <w:vAlign w:val="center"/>
          </w:tcPr>
          <w:p w14:paraId="308C36C8" w14:textId="77777777" w:rsidR="00793432" w:rsidRDefault="00000000">
            <w:pPr>
              <w:spacing w:line="288" w:lineRule="auto"/>
              <w:ind w:firstLine="360"/>
              <w:jc w:val="center"/>
            </w:pPr>
            <w:r>
              <w:rPr>
                <w:sz w:val="18"/>
              </w:rPr>
              <w:t>0.1</w:t>
            </w:r>
          </w:p>
        </w:tc>
        <w:tc>
          <w:tcPr>
            <w:tcW w:w="1224" w:type="dxa"/>
            <w:tcBorders>
              <w:top w:val="nil"/>
              <w:left w:val="nil"/>
              <w:bottom w:val="single" w:sz="12" w:space="0" w:color="auto"/>
              <w:right w:val="nil"/>
            </w:tcBorders>
            <w:tcMar>
              <w:top w:w="-1" w:type="dxa"/>
              <w:left w:w="-1" w:type="dxa"/>
              <w:bottom w:w="-1" w:type="dxa"/>
              <w:right w:w="-1" w:type="dxa"/>
            </w:tcMar>
            <w:vAlign w:val="center"/>
          </w:tcPr>
          <w:p w14:paraId="0E1E529A" w14:textId="77777777" w:rsidR="00793432" w:rsidRDefault="00000000">
            <w:pPr>
              <w:spacing w:line="288" w:lineRule="auto"/>
              <w:ind w:firstLine="360"/>
              <w:jc w:val="center"/>
            </w:pPr>
            <w:r>
              <w:rPr>
                <w:sz w:val="18"/>
              </w:rPr>
              <w:t>0.0003</w:t>
            </w:r>
          </w:p>
        </w:tc>
        <w:tc>
          <w:tcPr>
            <w:tcW w:w="1324" w:type="dxa"/>
            <w:tcBorders>
              <w:top w:val="nil"/>
              <w:left w:val="nil"/>
              <w:bottom w:val="single" w:sz="12" w:space="0" w:color="auto"/>
              <w:right w:val="nil"/>
            </w:tcBorders>
            <w:tcMar>
              <w:top w:w="-1" w:type="dxa"/>
              <w:left w:w="-1" w:type="dxa"/>
              <w:bottom w:w="-1" w:type="dxa"/>
              <w:right w:w="-1" w:type="dxa"/>
            </w:tcMar>
            <w:vAlign w:val="center"/>
          </w:tcPr>
          <w:p w14:paraId="3C539D69" w14:textId="77777777" w:rsidR="00793432" w:rsidRDefault="00000000">
            <w:pPr>
              <w:spacing w:line="288" w:lineRule="auto"/>
              <w:ind w:firstLine="360"/>
              <w:jc w:val="center"/>
            </w:pPr>
            <w:r>
              <w:rPr>
                <w:sz w:val="18"/>
              </w:rPr>
              <w:t>20</w:t>
            </w:r>
          </w:p>
        </w:tc>
        <w:tc>
          <w:tcPr>
            <w:tcW w:w="1334" w:type="dxa"/>
            <w:tcBorders>
              <w:top w:val="nil"/>
              <w:left w:val="nil"/>
              <w:bottom w:val="single" w:sz="12" w:space="0" w:color="auto"/>
              <w:right w:val="nil"/>
            </w:tcBorders>
            <w:tcMar>
              <w:top w:w="-1" w:type="dxa"/>
              <w:left w:w="-1" w:type="dxa"/>
              <w:bottom w:w="-1" w:type="dxa"/>
              <w:right w:w="-1" w:type="dxa"/>
            </w:tcMar>
            <w:vAlign w:val="center"/>
          </w:tcPr>
          <w:p w14:paraId="6ECA9936" w14:textId="77777777" w:rsidR="00793432" w:rsidRDefault="00000000">
            <w:pPr>
              <w:spacing w:line="288" w:lineRule="auto"/>
              <w:ind w:firstLineChars="0" w:firstLine="0"/>
              <w:jc w:val="center"/>
            </w:pPr>
            <w:r>
              <w:rPr>
                <w:sz w:val="18"/>
              </w:rPr>
              <w:t>验证损失</w:t>
            </w:r>
          </w:p>
        </w:tc>
      </w:tr>
    </w:tbl>
    <w:p w14:paraId="4921933A" w14:textId="77777777" w:rsidR="00793432" w:rsidRDefault="00000000">
      <w:pPr>
        <w:pStyle w:val="a3"/>
        <w:ind w:firstLine="422"/>
      </w:pPr>
      <w:r>
        <w:rPr>
          <w:rFonts w:ascii="Times New Roman" w:hAnsi="Times New Roman"/>
        </w:rPr>
        <w:t>表</w:t>
      </w:r>
      <w:r>
        <w:rPr>
          <w:rFonts w:ascii="Times New Roman" w:hAnsi="Times New Roman"/>
        </w:rPr>
        <w:t xml:space="preserve">4-2 </w:t>
      </w:r>
      <w:r>
        <w:rPr>
          <w:rFonts w:ascii="Times New Roman" w:hAnsi="Times New Roman"/>
        </w:rPr>
        <w:t>传统机器学习模型关键超参数</w:t>
      </w:r>
    </w:p>
    <w:tbl>
      <w:tblPr>
        <w:tblStyle w:val="aa"/>
        <w:tblW w:w="0" w:type="auto"/>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970"/>
        <w:gridCol w:w="4355"/>
        <w:gridCol w:w="1954"/>
      </w:tblGrid>
      <w:tr w:rsidR="00793432" w14:paraId="0C64AA89" w14:textId="77777777">
        <w:trPr>
          <w:trHeight w:val="350"/>
          <w:jc w:val="center"/>
        </w:trPr>
        <w:tc>
          <w:tcPr>
            <w:tcW w:w="1970" w:type="dxa"/>
            <w:tcBorders>
              <w:top w:val="single" w:sz="12" w:space="0" w:color="auto"/>
              <w:left w:val="nil"/>
              <w:bottom w:val="nil"/>
              <w:right w:val="nil"/>
            </w:tcBorders>
            <w:tcMar>
              <w:top w:w="-1" w:type="dxa"/>
              <w:left w:w="-1" w:type="dxa"/>
              <w:bottom w:w="-1" w:type="dxa"/>
              <w:right w:w="-1" w:type="dxa"/>
            </w:tcMar>
            <w:vAlign w:val="center"/>
          </w:tcPr>
          <w:p w14:paraId="2819F6DB" w14:textId="77777777" w:rsidR="00793432" w:rsidRDefault="00000000">
            <w:pPr>
              <w:spacing w:line="288" w:lineRule="auto"/>
              <w:ind w:firstLine="360"/>
              <w:jc w:val="center"/>
            </w:pPr>
            <w:r>
              <w:rPr>
                <w:sz w:val="18"/>
              </w:rPr>
              <w:t>模型</w:t>
            </w:r>
          </w:p>
        </w:tc>
        <w:tc>
          <w:tcPr>
            <w:tcW w:w="4355" w:type="dxa"/>
            <w:tcBorders>
              <w:top w:val="single" w:sz="12" w:space="0" w:color="auto"/>
              <w:left w:val="nil"/>
              <w:bottom w:val="nil"/>
              <w:right w:val="nil"/>
            </w:tcBorders>
            <w:tcMar>
              <w:top w:w="-1" w:type="dxa"/>
              <w:left w:w="-1" w:type="dxa"/>
              <w:bottom w:w="-1" w:type="dxa"/>
              <w:right w:w="-1" w:type="dxa"/>
            </w:tcMar>
            <w:vAlign w:val="center"/>
          </w:tcPr>
          <w:p w14:paraId="072000C9" w14:textId="77777777" w:rsidR="00793432" w:rsidRDefault="00000000">
            <w:pPr>
              <w:spacing w:line="288" w:lineRule="auto"/>
              <w:ind w:firstLine="360"/>
              <w:jc w:val="center"/>
            </w:pPr>
            <w:r>
              <w:rPr>
                <w:sz w:val="18"/>
              </w:rPr>
              <w:t>主要参数</w:t>
            </w:r>
          </w:p>
        </w:tc>
        <w:tc>
          <w:tcPr>
            <w:tcW w:w="1954" w:type="dxa"/>
            <w:tcBorders>
              <w:top w:val="single" w:sz="12" w:space="0" w:color="auto"/>
              <w:left w:val="nil"/>
              <w:bottom w:val="nil"/>
              <w:right w:val="nil"/>
            </w:tcBorders>
            <w:tcMar>
              <w:top w:w="-1" w:type="dxa"/>
              <w:left w:w="-1" w:type="dxa"/>
              <w:bottom w:w="-1" w:type="dxa"/>
              <w:right w:w="-1" w:type="dxa"/>
            </w:tcMar>
            <w:vAlign w:val="center"/>
          </w:tcPr>
          <w:p w14:paraId="71CACE99" w14:textId="77777777" w:rsidR="00793432" w:rsidRDefault="00000000">
            <w:pPr>
              <w:spacing w:line="288" w:lineRule="auto"/>
              <w:ind w:firstLine="360"/>
              <w:jc w:val="center"/>
            </w:pPr>
            <w:r>
              <w:rPr>
                <w:sz w:val="18"/>
              </w:rPr>
              <w:t>预处理</w:t>
            </w:r>
          </w:p>
        </w:tc>
      </w:tr>
      <w:tr w:rsidR="00793432" w14:paraId="4BDB21D9" w14:textId="77777777">
        <w:trPr>
          <w:trHeight w:val="597"/>
          <w:jc w:val="center"/>
        </w:trPr>
        <w:tc>
          <w:tcPr>
            <w:tcW w:w="1970" w:type="dxa"/>
            <w:tcBorders>
              <w:top w:val="single" w:sz="4" w:space="0" w:color="auto"/>
              <w:left w:val="nil"/>
              <w:bottom w:val="nil"/>
              <w:right w:val="nil"/>
            </w:tcBorders>
            <w:tcMar>
              <w:top w:w="-1" w:type="dxa"/>
              <w:left w:w="-1" w:type="dxa"/>
              <w:bottom w:w="-1" w:type="dxa"/>
              <w:right w:w="-1" w:type="dxa"/>
            </w:tcMar>
            <w:vAlign w:val="center"/>
          </w:tcPr>
          <w:p w14:paraId="0CEF136D" w14:textId="77777777" w:rsidR="00793432" w:rsidRDefault="00000000">
            <w:pPr>
              <w:spacing w:line="288" w:lineRule="auto"/>
              <w:ind w:firstLine="360"/>
              <w:jc w:val="center"/>
            </w:pPr>
            <w:r>
              <w:rPr>
                <w:sz w:val="18"/>
              </w:rPr>
              <w:t>Logistic Regression</w:t>
            </w:r>
          </w:p>
        </w:tc>
        <w:tc>
          <w:tcPr>
            <w:tcW w:w="4355" w:type="dxa"/>
            <w:tcBorders>
              <w:top w:val="single" w:sz="4" w:space="0" w:color="auto"/>
              <w:left w:val="nil"/>
              <w:bottom w:val="nil"/>
              <w:right w:val="nil"/>
            </w:tcBorders>
            <w:tcMar>
              <w:top w:w="-1" w:type="dxa"/>
              <w:left w:w="-1" w:type="dxa"/>
              <w:bottom w:w="-1" w:type="dxa"/>
              <w:right w:w="-1" w:type="dxa"/>
            </w:tcMar>
            <w:vAlign w:val="center"/>
          </w:tcPr>
          <w:p w14:paraId="4AC90547" w14:textId="77777777" w:rsidR="00793432" w:rsidRDefault="00000000">
            <w:pPr>
              <w:spacing w:line="288" w:lineRule="auto"/>
              <w:ind w:firstLine="360"/>
              <w:jc w:val="center"/>
            </w:pPr>
            <w:r>
              <w:rPr>
                <w:sz w:val="18"/>
              </w:rPr>
              <w:t>类别权重平衡，最大迭代</w:t>
            </w:r>
            <w:r>
              <w:rPr>
                <w:sz w:val="18"/>
              </w:rPr>
              <w:t>5000</w:t>
            </w:r>
          </w:p>
        </w:tc>
        <w:tc>
          <w:tcPr>
            <w:tcW w:w="1954" w:type="dxa"/>
            <w:tcBorders>
              <w:top w:val="single" w:sz="4" w:space="0" w:color="auto"/>
              <w:left w:val="nil"/>
              <w:bottom w:val="nil"/>
              <w:right w:val="nil"/>
            </w:tcBorders>
            <w:tcMar>
              <w:top w:w="-1" w:type="dxa"/>
              <w:left w:w="-1" w:type="dxa"/>
              <w:bottom w:w="-1" w:type="dxa"/>
              <w:right w:w="-1" w:type="dxa"/>
            </w:tcMar>
            <w:vAlign w:val="center"/>
          </w:tcPr>
          <w:p w14:paraId="1CDC55FA" w14:textId="77777777" w:rsidR="00793432" w:rsidRDefault="00000000">
            <w:pPr>
              <w:spacing w:line="288" w:lineRule="auto"/>
              <w:ind w:firstLine="360"/>
              <w:jc w:val="center"/>
            </w:pPr>
            <w:r>
              <w:rPr>
                <w:sz w:val="18"/>
              </w:rPr>
              <w:t>中位数填充</w:t>
            </w:r>
            <w:r>
              <w:rPr>
                <w:sz w:val="18"/>
              </w:rPr>
              <w:t>+</w:t>
            </w:r>
            <w:r>
              <w:rPr>
                <w:sz w:val="18"/>
              </w:rPr>
              <w:t>标准化</w:t>
            </w:r>
          </w:p>
        </w:tc>
      </w:tr>
      <w:tr w:rsidR="00793432" w14:paraId="2A5155D0" w14:textId="77777777">
        <w:trPr>
          <w:trHeight w:val="578"/>
          <w:jc w:val="center"/>
        </w:trPr>
        <w:tc>
          <w:tcPr>
            <w:tcW w:w="1970" w:type="dxa"/>
            <w:tcBorders>
              <w:top w:val="nil"/>
              <w:left w:val="nil"/>
              <w:bottom w:val="nil"/>
              <w:right w:val="nil"/>
            </w:tcBorders>
            <w:tcMar>
              <w:top w:w="-1" w:type="dxa"/>
              <w:left w:w="-1" w:type="dxa"/>
              <w:bottom w:w="-1" w:type="dxa"/>
              <w:right w:w="-1" w:type="dxa"/>
            </w:tcMar>
            <w:vAlign w:val="center"/>
          </w:tcPr>
          <w:p w14:paraId="30AE6D5B" w14:textId="77777777" w:rsidR="00793432" w:rsidRDefault="00000000">
            <w:pPr>
              <w:spacing w:line="288" w:lineRule="auto"/>
              <w:ind w:firstLine="360"/>
              <w:jc w:val="center"/>
            </w:pPr>
            <w:r>
              <w:rPr>
                <w:sz w:val="18"/>
              </w:rPr>
              <w:t>RBF-SVM</w:t>
            </w:r>
          </w:p>
        </w:tc>
        <w:tc>
          <w:tcPr>
            <w:tcW w:w="4355" w:type="dxa"/>
            <w:tcBorders>
              <w:top w:val="nil"/>
              <w:left w:val="nil"/>
              <w:bottom w:val="nil"/>
              <w:right w:val="nil"/>
            </w:tcBorders>
            <w:tcMar>
              <w:top w:w="-1" w:type="dxa"/>
              <w:left w:w="-1" w:type="dxa"/>
              <w:bottom w:w="-1" w:type="dxa"/>
              <w:right w:w="-1" w:type="dxa"/>
            </w:tcMar>
            <w:vAlign w:val="center"/>
          </w:tcPr>
          <w:p w14:paraId="2EA608A3" w14:textId="77777777" w:rsidR="00793432" w:rsidRDefault="00000000">
            <w:pPr>
              <w:spacing w:line="288" w:lineRule="auto"/>
              <w:ind w:firstLine="360"/>
              <w:jc w:val="center"/>
            </w:pPr>
            <w:r>
              <w:rPr>
                <w:sz w:val="18"/>
              </w:rPr>
              <w:t>C=1.0</w:t>
            </w:r>
            <w:r>
              <w:rPr>
                <w:sz w:val="18"/>
              </w:rPr>
              <w:t>，径向基核，类别权重平衡</w:t>
            </w:r>
          </w:p>
        </w:tc>
        <w:tc>
          <w:tcPr>
            <w:tcW w:w="1954" w:type="dxa"/>
            <w:tcBorders>
              <w:top w:val="nil"/>
              <w:left w:val="nil"/>
              <w:bottom w:val="nil"/>
              <w:right w:val="nil"/>
            </w:tcBorders>
            <w:tcMar>
              <w:top w:w="-1" w:type="dxa"/>
              <w:left w:w="-1" w:type="dxa"/>
              <w:bottom w:w="-1" w:type="dxa"/>
              <w:right w:w="-1" w:type="dxa"/>
            </w:tcMar>
            <w:vAlign w:val="center"/>
          </w:tcPr>
          <w:p w14:paraId="32A6211E" w14:textId="77777777" w:rsidR="00793432" w:rsidRDefault="00000000">
            <w:pPr>
              <w:spacing w:line="288" w:lineRule="auto"/>
              <w:ind w:firstLine="360"/>
              <w:jc w:val="center"/>
            </w:pPr>
            <w:r>
              <w:rPr>
                <w:sz w:val="18"/>
              </w:rPr>
              <w:t>中位数填充</w:t>
            </w:r>
            <w:r>
              <w:rPr>
                <w:sz w:val="18"/>
              </w:rPr>
              <w:t>+</w:t>
            </w:r>
            <w:r>
              <w:rPr>
                <w:sz w:val="18"/>
              </w:rPr>
              <w:t>标准化</w:t>
            </w:r>
          </w:p>
        </w:tc>
      </w:tr>
      <w:tr w:rsidR="00793432" w14:paraId="3AFB305E" w14:textId="77777777">
        <w:trPr>
          <w:trHeight w:val="578"/>
          <w:jc w:val="center"/>
        </w:trPr>
        <w:tc>
          <w:tcPr>
            <w:tcW w:w="1970" w:type="dxa"/>
            <w:tcBorders>
              <w:top w:val="nil"/>
              <w:left w:val="nil"/>
              <w:bottom w:val="nil"/>
              <w:right w:val="nil"/>
            </w:tcBorders>
            <w:tcMar>
              <w:top w:w="-1" w:type="dxa"/>
              <w:left w:w="-1" w:type="dxa"/>
              <w:bottom w:w="-1" w:type="dxa"/>
              <w:right w:w="-1" w:type="dxa"/>
            </w:tcMar>
            <w:vAlign w:val="center"/>
          </w:tcPr>
          <w:p w14:paraId="0D55E535" w14:textId="77777777" w:rsidR="00793432" w:rsidRDefault="00000000">
            <w:pPr>
              <w:spacing w:line="288" w:lineRule="auto"/>
              <w:ind w:firstLine="360"/>
              <w:jc w:val="center"/>
            </w:pPr>
            <w:r>
              <w:rPr>
                <w:sz w:val="18"/>
              </w:rPr>
              <w:t>Random Forest</w:t>
            </w:r>
          </w:p>
        </w:tc>
        <w:tc>
          <w:tcPr>
            <w:tcW w:w="4355" w:type="dxa"/>
            <w:tcBorders>
              <w:top w:val="nil"/>
              <w:left w:val="nil"/>
              <w:bottom w:val="nil"/>
              <w:right w:val="nil"/>
            </w:tcBorders>
            <w:tcMar>
              <w:top w:w="-1" w:type="dxa"/>
              <w:left w:w="-1" w:type="dxa"/>
              <w:bottom w:w="-1" w:type="dxa"/>
              <w:right w:w="-1" w:type="dxa"/>
            </w:tcMar>
            <w:vAlign w:val="center"/>
          </w:tcPr>
          <w:p w14:paraId="3346D129" w14:textId="77777777" w:rsidR="00793432" w:rsidRDefault="00000000">
            <w:pPr>
              <w:spacing w:line="288" w:lineRule="auto"/>
              <w:ind w:firstLine="360"/>
              <w:jc w:val="center"/>
            </w:pPr>
            <w:r>
              <w:rPr>
                <w:sz w:val="18"/>
              </w:rPr>
              <w:t>500</w:t>
            </w:r>
            <w:r>
              <w:rPr>
                <w:sz w:val="18"/>
              </w:rPr>
              <w:t>棵树，叶节点最小样本数为</w:t>
            </w:r>
            <w:r>
              <w:rPr>
                <w:sz w:val="18"/>
              </w:rPr>
              <w:t>2</w:t>
            </w:r>
            <w:r>
              <w:rPr>
                <w:sz w:val="18"/>
              </w:rPr>
              <w:t>，子样本类别权重平衡</w:t>
            </w:r>
          </w:p>
        </w:tc>
        <w:tc>
          <w:tcPr>
            <w:tcW w:w="1954" w:type="dxa"/>
            <w:tcBorders>
              <w:top w:val="nil"/>
              <w:left w:val="nil"/>
              <w:bottom w:val="nil"/>
              <w:right w:val="nil"/>
            </w:tcBorders>
            <w:tcMar>
              <w:top w:w="-1" w:type="dxa"/>
              <w:left w:w="-1" w:type="dxa"/>
              <w:bottom w:w="-1" w:type="dxa"/>
              <w:right w:w="-1" w:type="dxa"/>
            </w:tcMar>
            <w:vAlign w:val="center"/>
          </w:tcPr>
          <w:p w14:paraId="3ED2E07F" w14:textId="77777777" w:rsidR="00793432" w:rsidRDefault="00000000">
            <w:pPr>
              <w:spacing w:line="288" w:lineRule="auto"/>
              <w:ind w:firstLine="360"/>
              <w:jc w:val="center"/>
            </w:pPr>
            <w:r>
              <w:rPr>
                <w:sz w:val="18"/>
              </w:rPr>
              <w:t>中位数填充</w:t>
            </w:r>
          </w:p>
        </w:tc>
      </w:tr>
      <w:tr w:rsidR="00793432" w14:paraId="759B0E15" w14:textId="77777777">
        <w:trPr>
          <w:trHeight w:val="578"/>
          <w:jc w:val="center"/>
        </w:trPr>
        <w:tc>
          <w:tcPr>
            <w:tcW w:w="1970" w:type="dxa"/>
            <w:tcBorders>
              <w:top w:val="nil"/>
              <w:left w:val="nil"/>
              <w:bottom w:val="nil"/>
              <w:right w:val="nil"/>
            </w:tcBorders>
            <w:tcMar>
              <w:top w:w="-1" w:type="dxa"/>
              <w:left w:w="-1" w:type="dxa"/>
              <w:bottom w:w="-1" w:type="dxa"/>
              <w:right w:w="-1" w:type="dxa"/>
            </w:tcMar>
            <w:vAlign w:val="center"/>
          </w:tcPr>
          <w:p w14:paraId="517B63E2" w14:textId="77777777" w:rsidR="00793432" w:rsidRDefault="00000000">
            <w:pPr>
              <w:spacing w:line="288" w:lineRule="auto"/>
              <w:ind w:firstLine="360"/>
              <w:jc w:val="center"/>
            </w:pPr>
            <w:r>
              <w:rPr>
                <w:sz w:val="18"/>
              </w:rPr>
              <w:t>Extra Trees</w:t>
            </w:r>
          </w:p>
        </w:tc>
        <w:tc>
          <w:tcPr>
            <w:tcW w:w="4355" w:type="dxa"/>
            <w:tcBorders>
              <w:top w:val="nil"/>
              <w:left w:val="nil"/>
              <w:bottom w:val="nil"/>
              <w:right w:val="nil"/>
            </w:tcBorders>
            <w:tcMar>
              <w:top w:w="-1" w:type="dxa"/>
              <w:left w:w="-1" w:type="dxa"/>
              <w:bottom w:w="-1" w:type="dxa"/>
              <w:right w:w="-1" w:type="dxa"/>
            </w:tcMar>
            <w:vAlign w:val="center"/>
          </w:tcPr>
          <w:p w14:paraId="05B3B7DC" w14:textId="77777777" w:rsidR="00793432" w:rsidRDefault="00000000">
            <w:pPr>
              <w:spacing w:line="288" w:lineRule="auto"/>
              <w:ind w:firstLine="360"/>
              <w:jc w:val="center"/>
            </w:pPr>
            <w:r>
              <w:rPr>
                <w:sz w:val="18"/>
              </w:rPr>
              <w:t>500</w:t>
            </w:r>
            <w:r>
              <w:rPr>
                <w:sz w:val="18"/>
              </w:rPr>
              <w:t>棵树，叶节点最小样本数为</w:t>
            </w:r>
            <w:r>
              <w:rPr>
                <w:sz w:val="18"/>
              </w:rPr>
              <w:t>2</w:t>
            </w:r>
            <w:r>
              <w:rPr>
                <w:sz w:val="18"/>
              </w:rPr>
              <w:t>，类别权重平衡</w:t>
            </w:r>
          </w:p>
        </w:tc>
        <w:tc>
          <w:tcPr>
            <w:tcW w:w="1954" w:type="dxa"/>
            <w:tcBorders>
              <w:top w:val="nil"/>
              <w:left w:val="nil"/>
              <w:bottom w:val="nil"/>
              <w:right w:val="nil"/>
            </w:tcBorders>
            <w:tcMar>
              <w:top w:w="-1" w:type="dxa"/>
              <w:left w:w="-1" w:type="dxa"/>
              <w:bottom w:w="-1" w:type="dxa"/>
              <w:right w:w="-1" w:type="dxa"/>
            </w:tcMar>
            <w:vAlign w:val="center"/>
          </w:tcPr>
          <w:p w14:paraId="5AA135D5" w14:textId="77777777" w:rsidR="00793432" w:rsidRDefault="00000000">
            <w:pPr>
              <w:spacing w:line="288" w:lineRule="auto"/>
              <w:ind w:firstLine="360"/>
              <w:jc w:val="center"/>
            </w:pPr>
            <w:r>
              <w:rPr>
                <w:sz w:val="18"/>
              </w:rPr>
              <w:t>中位数填充</w:t>
            </w:r>
          </w:p>
        </w:tc>
      </w:tr>
      <w:tr w:rsidR="00793432" w14:paraId="4CA3AA0D" w14:textId="77777777">
        <w:trPr>
          <w:trHeight w:val="572"/>
          <w:jc w:val="center"/>
        </w:trPr>
        <w:tc>
          <w:tcPr>
            <w:tcW w:w="1970" w:type="dxa"/>
            <w:tcBorders>
              <w:top w:val="nil"/>
              <w:left w:val="nil"/>
              <w:bottom w:val="single" w:sz="12" w:space="0" w:color="auto"/>
              <w:right w:val="nil"/>
            </w:tcBorders>
            <w:tcMar>
              <w:top w:w="-1" w:type="dxa"/>
              <w:left w:w="-1" w:type="dxa"/>
              <w:bottom w:w="-1" w:type="dxa"/>
              <w:right w:w="-1" w:type="dxa"/>
            </w:tcMar>
            <w:vAlign w:val="center"/>
          </w:tcPr>
          <w:p w14:paraId="5878366F" w14:textId="77777777" w:rsidR="00793432" w:rsidRDefault="00000000">
            <w:pPr>
              <w:spacing w:line="288" w:lineRule="auto"/>
              <w:ind w:firstLine="360"/>
              <w:jc w:val="center"/>
            </w:pPr>
            <w:r>
              <w:rPr>
                <w:sz w:val="18"/>
              </w:rPr>
              <w:t>Gradient Boosting</w:t>
            </w:r>
          </w:p>
        </w:tc>
        <w:tc>
          <w:tcPr>
            <w:tcW w:w="4355" w:type="dxa"/>
            <w:tcBorders>
              <w:top w:val="nil"/>
              <w:left w:val="nil"/>
              <w:bottom w:val="single" w:sz="12" w:space="0" w:color="auto"/>
              <w:right w:val="nil"/>
            </w:tcBorders>
            <w:tcMar>
              <w:top w:w="-1" w:type="dxa"/>
              <w:left w:w="-1" w:type="dxa"/>
              <w:bottom w:w="-1" w:type="dxa"/>
              <w:right w:w="-1" w:type="dxa"/>
            </w:tcMar>
            <w:vAlign w:val="center"/>
          </w:tcPr>
          <w:p w14:paraId="16CD3571" w14:textId="77777777" w:rsidR="00793432" w:rsidRDefault="00000000">
            <w:pPr>
              <w:spacing w:line="288" w:lineRule="auto"/>
              <w:ind w:firstLine="360"/>
              <w:jc w:val="center"/>
            </w:pPr>
            <w:r>
              <w:rPr>
                <w:sz w:val="18"/>
              </w:rPr>
              <w:t>300</w:t>
            </w:r>
            <w:r>
              <w:rPr>
                <w:sz w:val="18"/>
              </w:rPr>
              <w:t>轮提升，学习率</w:t>
            </w:r>
            <w:r>
              <w:rPr>
                <w:sz w:val="18"/>
              </w:rPr>
              <w:t>0.03</w:t>
            </w:r>
            <w:r>
              <w:rPr>
                <w:sz w:val="18"/>
              </w:rPr>
              <w:t>，树深度</w:t>
            </w:r>
            <w:r>
              <w:rPr>
                <w:sz w:val="18"/>
              </w:rPr>
              <w:t>2</w:t>
            </w:r>
          </w:p>
        </w:tc>
        <w:tc>
          <w:tcPr>
            <w:tcW w:w="1954" w:type="dxa"/>
            <w:tcBorders>
              <w:top w:val="nil"/>
              <w:left w:val="nil"/>
              <w:bottom w:val="single" w:sz="12" w:space="0" w:color="auto"/>
              <w:right w:val="nil"/>
            </w:tcBorders>
            <w:tcMar>
              <w:top w:w="-1" w:type="dxa"/>
              <w:left w:w="-1" w:type="dxa"/>
              <w:bottom w:w="-1" w:type="dxa"/>
              <w:right w:w="-1" w:type="dxa"/>
            </w:tcMar>
            <w:vAlign w:val="center"/>
          </w:tcPr>
          <w:p w14:paraId="5987DFDB" w14:textId="77777777" w:rsidR="00793432" w:rsidRDefault="00000000">
            <w:pPr>
              <w:spacing w:line="288" w:lineRule="auto"/>
              <w:ind w:firstLine="360"/>
              <w:jc w:val="center"/>
            </w:pPr>
            <w:r>
              <w:rPr>
                <w:sz w:val="18"/>
              </w:rPr>
              <w:t>中位数填充</w:t>
            </w:r>
          </w:p>
        </w:tc>
      </w:tr>
    </w:tbl>
    <w:p w14:paraId="7A3FCB4C" w14:textId="77777777" w:rsidR="00793432" w:rsidRDefault="00000000">
      <w:r>
        <w:t>传统机器学习模型以定长原子样本表为输入。每个分子按重原子展开，训练时采用分子级分组划分，避免同一分子的不同原子同时进入训练集与验证集。模型输出原子级概率后，再按分子聚合，用于计算</w:t>
      </w:r>
      <w:r>
        <w:t xml:space="preserve"> Hit@1 </w:t>
      </w:r>
      <w:r>
        <w:t>与</w:t>
      </w:r>
      <w:r>
        <w:t xml:space="preserve"> Hit@3</w:t>
      </w:r>
      <w:r>
        <w:t>。该流程既适配传统模型，也保留了反应位点任务的分子内排序特征。</w:t>
      </w:r>
    </w:p>
    <w:p w14:paraId="7C6727D4" w14:textId="77777777" w:rsidR="00793432" w:rsidRDefault="00000000">
      <w:r>
        <w:t>本文选择的传统模型涵盖线性模型、核方法、</w:t>
      </w:r>
      <w:r>
        <w:t xml:space="preserve">Bagging </w:t>
      </w:r>
      <w:r>
        <w:t>树模型与</w:t>
      </w:r>
      <w:r>
        <w:t xml:space="preserve"> Boosting </w:t>
      </w:r>
      <w:r>
        <w:t>树模型。</w:t>
      </w:r>
      <w:r>
        <w:t xml:space="preserve">Logistic Regression </w:t>
      </w:r>
      <w:r>
        <w:t>与</w:t>
      </w:r>
      <w:r>
        <w:t xml:space="preserve"> SGD Logistic </w:t>
      </w:r>
      <w:r>
        <w:t>作为线性基线，可反映特征本身的直接判别能力；</w:t>
      </w:r>
      <w:r>
        <w:t xml:space="preserve">RBF-SVM </w:t>
      </w:r>
      <w:r>
        <w:t>用于捕捉非线性边界；</w:t>
      </w:r>
      <w:r>
        <w:t xml:space="preserve">Random Forest </w:t>
      </w:r>
      <w:r>
        <w:t>与</w:t>
      </w:r>
      <w:r>
        <w:t xml:space="preserve"> Extra Trees </w:t>
      </w:r>
      <w:r>
        <w:t>通过多棵决策树降低方差，对混合特征具有较好的鲁棒性；</w:t>
      </w:r>
      <w:r>
        <w:t xml:space="preserve">Gradient Boosting </w:t>
      </w:r>
      <w:r>
        <w:t>与</w:t>
      </w:r>
      <w:r>
        <w:t xml:space="preserve"> </w:t>
      </w:r>
      <w:proofErr w:type="spellStart"/>
      <w:r>
        <w:lastRenderedPageBreak/>
        <w:t>HistGradientBoosting</w:t>
      </w:r>
      <w:proofErr w:type="spellEnd"/>
      <w:r>
        <w:t xml:space="preserve"> </w:t>
      </w:r>
      <w:r>
        <w:t>通过逐步拟合提升表达能力。针对正负样本比例不均衡的问题，模型尽量采用</w:t>
      </w:r>
      <w:r>
        <w:t xml:space="preserve"> balanced </w:t>
      </w:r>
      <w:r>
        <w:t>或</w:t>
      </w:r>
      <w:r>
        <w:t xml:space="preserve"> </w:t>
      </w:r>
      <w:proofErr w:type="spellStart"/>
      <w:r>
        <w:t>balanced_subsample</w:t>
      </w:r>
      <w:proofErr w:type="spellEnd"/>
      <w:r>
        <w:t xml:space="preserve"> </w:t>
      </w:r>
      <w:r>
        <w:t>权重策略。</w:t>
      </w:r>
    </w:p>
    <w:p w14:paraId="1C6FEEB9" w14:textId="77777777" w:rsidR="00793432" w:rsidRDefault="00000000">
      <w:r>
        <w:t>传统机器学习侧采用与</w:t>
      </w:r>
      <w:proofErr w:type="spellStart"/>
      <w:r>
        <w:t>Chemprop</w:t>
      </w:r>
      <w:proofErr w:type="spellEnd"/>
      <w:r>
        <w:t>一致的十四组特征组合。每个分子按重原子展开为原子样本，训练和验证仍按分子分组，以避免同一分子的不同原子同时进入训练和验证。</w:t>
      </w:r>
      <w:r>
        <w:t>Fukui</w:t>
      </w:r>
      <w:r>
        <w:t>、</w:t>
      </w:r>
      <w:r>
        <w:t>NICS</w:t>
      </w:r>
      <w:r>
        <w:t>和</w:t>
      </w:r>
      <w:r>
        <w:t>Gaussian</w:t>
      </w:r>
      <w:r>
        <w:t>电荷等原子级描述符均按重原子顺序对齐，分子级</w:t>
      </w:r>
      <w:r>
        <w:t>NICS</w:t>
      </w:r>
      <w:r>
        <w:t>汇总量则作为全局补充特征拼接至相应原子样本。</w:t>
      </w:r>
    </w:p>
    <w:p w14:paraId="0D25E8AE" w14:textId="77777777" w:rsidR="00793432" w:rsidRDefault="00000000">
      <w:r>
        <w:t>传统模型的特征组合包括：仅</w:t>
      </w:r>
      <w:proofErr w:type="spellStart"/>
      <w:r>
        <w:t>RDKit</w:t>
      </w:r>
      <w:proofErr w:type="spellEnd"/>
      <w:r>
        <w:t>结构与酚类领域特征、加入原始</w:t>
      </w:r>
      <w:r>
        <w:t>NPA/Mulliken</w:t>
      </w:r>
      <w:r>
        <w:t>电荷、加入派生电荷统计、仅酚类结构特征、酚类结构</w:t>
      </w:r>
      <w:r>
        <w:t>+</w:t>
      </w:r>
      <w:r>
        <w:t>绝对电荷、酚类结构</w:t>
      </w:r>
      <w:r>
        <w:t>+</w:t>
      </w:r>
      <w:r>
        <w:t>绝对电荷</w:t>
      </w:r>
      <w:r>
        <w:t>+Fukui</w:t>
      </w:r>
      <w:r>
        <w:t>、酚类结构</w:t>
      </w:r>
      <w:r>
        <w:t>+</w:t>
      </w:r>
      <w:r>
        <w:t>绝对电荷</w:t>
      </w:r>
      <w:r>
        <w:t>+NICS</w:t>
      </w:r>
      <w:r>
        <w:t>以及全融合特征等。各组合均运行五个固定随机种子，并按均值和标准差呈现结果。</w:t>
      </w:r>
    </w:p>
    <w:p w14:paraId="025C1AE7" w14:textId="77777777" w:rsidR="00793432" w:rsidRDefault="00000000">
      <w:r>
        <w:t>原子级展开使</w:t>
      </w:r>
      <w:r>
        <w:t>138</w:t>
      </w:r>
      <w:r>
        <w:t>个分子转换为</w:t>
      </w:r>
      <w:r>
        <w:t>2509</w:t>
      </w:r>
      <w:r>
        <w:t>个重原子样本，正类比例约为</w:t>
      </w:r>
      <w:r>
        <w:t>11.3%</w:t>
      </w:r>
      <w:r>
        <w:t>。模型训练采用分子级</w:t>
      </w:r>
      <w:r>
        <w:t>80/20</w:t>
      </w:r>
      <w:r>
        <w:t>划分，每个随机种子重新划分一次，约</w:t>
      </w:r>
      <w:r>
        <w:t>110</w:t>
      </w:r>
      <w:r>
        <w:t>个分子用于训练、</w:t>
      </w:r>
      <w:r>
        <w:t>28</w:t>
      </w:r>
      <w:r>
        <w:t>个分子用于验证，对应约</w:t>
      </w:r>
      <w:r>
        <w:t>1989</w:t>
      </w:r>
      <w:r>
        <w:t>个训练原子样本和</w:t>
      </w:r>
      <w:r>
        <w:t>520</w:t>
      </w:r>
      <w:r>
        <w:t>个验证原子样本。</w:t>
      </w:r>
    </w:p>
    <w:p w14:paraId="2280D288" w14:textId="77777777" w:rsidR="00793432" w:rsidRDefault="00000000">
      <w:pPr>
        <w:pStyle w:val="2"/>
        <w:spacing w:line="360" w:lineRule="auto"/>
        <w:ind w:firstLine="562"/>
      </w:pPr>
      <w:bookmarkStart w:id="20" w:name="_Toc22991"/>
      <w:r>
        <w:t>4.4</w:t>
      </w:r>
      <w:r>
        <w:t>评价指标设计</w:t>
      </w:r>
      <w:bookmarkEnd w:id="20"/>
    </w:p>
    <w:p w14:paraId="4319713E" w14:textId="77777777" w:rsidR="00793432" w:rsidRDefault="00000000">
      <w:r>
        <w:t xml:space="preserve">PRC </w:t>
      </w:r>
      <w:r>
        <w:t>即</w:t>
      </w:r>
      <w:r>
        <w:t xml:space="preserve"> precision-recall </w:t>
      </w:r>
      <w:r>
        <w:t>曲线下面积，适用于正负样本不平衡的二分类任务。在反应位点预测中，正类原子通常占比较少；若仅以准确率为标准，模型可能通过预测大量负类获得较高数值，却无法识别真正的关键位点。因此本文以</w:t>
      </w:r>
      <w:r>
        <w:t xml:space="preserve"> PRC </w:t>
      </w:r>
      <w:r>
        <w:t>作为主要分类指标之一。</w:t>
      </w:r>
    </w:p>
    <w:p w14:paraId="421A2D17" w14:textId="77777777" w:rsidR="00793432" w:rsidRDefault="00000000">
      <w:r>
        <w:t xml:space="preserve">ROC-AUC </w:t>
      </w:r>
      <w:r>
        <w:t>衡量模型在不同阈值下区分正负样本的整体能力。鉴于</w:t>
      </w:r>
      <w:r>
        <w:t xml:space="preserve"> ROC-AUC </w:t>
      </w:r>
      <w:r>
        <w:t>对负类数量较多的任务相对乐观，本文将其作为辅助指标，而非唯一结论。</w:t>
      </w:r>
      <w:r>
        <w:t xml:space="preserve">Best F1 </w:t>
      </w:r>
      <w:r>
        <w:t>通过阈值扫描得到，可反映模型在某一阈值下兼顾</w:t>
      </w:r>
      <w:r>
        <w:t xml:space="preserve"> precision </w:t>
      </w:r>
      <w:r>
        <w:t>与</w:t>
      </w:r>
      <w:r>
        <w:t xml:space="preserve"> recall </w:t>
      </w:r>
      <w:r>
        <w:t>的能力。</w:t>
      </w:r>
    </w:p>
    <w:p w14:paraId="0140B5D5" w14:textId="77777777" w:rsidR="00793432" w:rsidRDefault="00000000">
      <w:r>
        <w:t xml:space="preserve">Hit@1 </w:t>
      </w:r>
      <w:r>
        <w:t>与</w:t>
      </w:r>
      <w:r>
        <w:t xml:space="preserve"> Hit@3 </w:t>
      </w:r>
      <w:r>
        <w:t>是按分子聚合后的排序指标。</w:t>
      </w:r>
      <w:r>
        <w:t xml:space="preserve">Hit@1 </w:t>
      </w:r>
      <w:r>
        <w:t>表示真实反应位点是否出现在模型预测概率最高的原子中；</w:t>
      </w:r>
      <w:r>
        <w:t xml:space="preserve">Hit@3 </w:t>
      </w:r>
      <w:r>
        <w:t>表示是否出现在前三个候选原子中。对后续量子化学精算或实验验证而言，</w:t>
      </w:r>
      <w:r>
        <w:t xml:space="preserve">Top-K </w:t>
      </w:r>
      <w:r>
        <w:t>命中率具有显著的实际意义，因为研究者通常希望从一个分子中优先筛出少数高风险位点。</w:t>
      </w:r>
    </w:p>
    <w:p w14:paraId="2A8C6421" w14:textId="77777777" w:rsidR="00793432" w:rsidRDefault="00000000">
      <w:proofErr w:type="spellStart"/>
      <w:r>
        <w:t>Hit@K</w:t>
      </w:r>
      <w:proofErr w:type="spellEnd"/>
      <w:r>
        <w:t>与</w:t>
      </w:r>
      <w:r>
        <w:t>Best F1</w:t>
      </w:r>
      <w:r>
        <w:t>均由预测概率计算得到。</w:t>
      </w:r>
      <w:proofErr w:type="spellStart"/>
      <w:r>
        <w:t>Hit@K</w:t>
      </w:r>
      <w:proofErr w:type="spellEnd"/>
      <w:r>
        <w:t>先按分子分组，再在分子内部按预测概率降序排序，若前</w:t>
      </w:r>
      <w:r>
        <w:t>K</w:t>
      </w:r>
      <w:r>
        <w:t>个候选原子与真实反应位点存在交集则记为</w:t>
      </w:r>
      <w:r>
        <w:lastRenderedPageBreak/>
        <w:t>命中；</w:t>
      </w:r>
      <w:r>
        <w:t>Best F1</w:t>
      </w:r>
      <w:r>
        <w:t>则通过遍历概率阈值，选择</w:t>
      </w:r>
      <w:r>
        <w:t>precision</w:t>
      </w:r>
      <w:r>
        <w:t>与</w:t>
      </w:r>
      <w:r>
        <w:t>recall</w:t>
      </w:r>
      <w:r>
        <w:t>综合最优的</w:t>
      </w:r>
      <w:r>
        <w:t>F1</w:t>
      </w:r>
      <w:r>
        <w:t>值。二者分别反映分子内筛选能力和原子级分类能力。</w:t>
      </w:r>
    </w:p>
    <w:p w14:paraId="66E9FEDC" w14:textId="77777777" w:rsidR="00793432" w:rsidRDefault="00000000">
      <w:pPr>
        <w:pStyle w:val="a3"/>
        <w:ind w:firstLine="422"/>
      </w:pPr>
      <w:r>
        <w:rPr>
          <w:rFonts w:ascii="Times New Roman" w:hAnsi="Times New Roman"/>
        </w:rPr>
        <w:t>表</w:t>
      </w:r>
      <w:r>
        <w:rPr>
          <w:rFonts w:ascii="Times New Roman" w:hAnsi="Times New Roman"/>
        </w:rPr>
        <w:t xml:space="preserve">4-3 </w:t>
      </w:r>
      <w:r>
        <w:rPr>
          <w:rFonts w:ascii="Times New Roman" w:hAnsi="Times New Roman"/>
        </w:rPr>
        <w:t>反应位点预测核心数学表达</w:t>
      </w:r>
    </w:p>
    <w:tbl>
      <w:tblPr>
        <w:tblStyle w:val="aa"/>
        <w:tblW w:w="0" w:type="auto"/>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288"/>
        <w:gridCol w:w="5355"/>
        <w:gridCol w:w="1669"/>
      </w:tblGrid>
      <w:tr w:rsidR="00793432" w14:paraId="3B734E99" w14:textId="77777777">
        <w:trPr>
          <w:trHeight w:val="340"/>
          <w:jc w:val="center"/>
        </w:trPr>
        <w:tc>
          <w:tcPr>
            <w:tcW w:w="2101" w:type="dxa"/>
            <w:tcBorders>
              <w:top w:val="single" w:sz="12" w:space="0" w:color="auto"/>
              <w:left w:val="nil"/>
              <w:bottom w:val="nil"/>
              <w:right w:val="nil"/>
            </w:tcBorders>
            <w:tcMar>
              <w:top w:w="-1" w:type="dxa"/>
              <w:left w:w="-1" w:type="dxa"/>
              <w:bottom w:w="-1" w:type="dxa"/>
              <w:right w:w="-1" w:type="dxa"/>
            </w:tcMar>
            <w:vAlign w:val="center"/>
          </w:tcPr>
          <w:p w14:paraId="39E31E18" w14:textId="77777777" w:rsidR="00793432" w:rsidRDefault="00000000">
            <w:pPr>
              <w:spacing w:line="288" w:lineRule="auto"/>
              <w:ind w:firstLine="360"/>
              <w:jc w:val="center"/>
            </w:pPr>
            <w:r>
              <w:rPr>
                <w:sz w:val="18"/>
              </w:rPr>
              <w:t>编号</w:t>
            </w:r>
          </w:p>
        </w:tc>
        <w:tc>
          <w:tcPr>
            <w:tcW w:w="2520" w:type="dxa"/>
            <w:tcBorders>
              <w:top w:val="single" w:sz="12" w:space="0" w:color="auto"/>
              <w:left w:val="nil"/>
              <w:bottom w:val="nil"/>
              <w:right w:val="nil"/>
            </w:tcBorders>
            <w:tcMar>
              <w:top w:w="-1" w:type="dxa"/>
              <w:left w:w="-1" w:type="dxa"/>
              <w:bottom w:w="-1" w:type="dxa"/>
              <w:right w:w="-1" w:type="dxa"/>
            </w:tcMar>
            <w:vAlign w:val="center"/>
          </w:tcPr>
          <w:p w14:paraId="59064A8C" w14:textId="77777777" w:rsidR="00793432" w:rsidRDefault="00000000">
            <w:pPr>
              <w:spacing w:line="288" w:lineRule="auto"/>
              <w:ind w:firstLine="360"/>
              <w:jc w:val="center"/>
            </w:pPr>
            <w:r>
              <w:rPr>
                <w:sz w:val="18"/>
              </w:rPr>
              <w:t>表达式</w:t>
            </w:r>
          </w:p>
        </w:tc>
        <w:tc>
          <w:tcPr>
            <w:tcW w:w="2477" w:type="dxa"/>
            <w:tcBorders>
              <w:top w:val="single" w:sz="12" w:space="0" w:color="auto"/>
              <w:left w:val="nil"/>
              <w:bottom w:val="nil"/>
              <w:right w:val="nil"/>
            </w:tcBorders>
            <w:tcMar>
              <w:top w:w="-1" w:type="dxa"/>
              <w:left w:w="-1" w:type="dxa"/>
              <w:bottom w:w="-1" w:type="dxa"/>
              <w:right w:w="-1" w:type="dxa"/>
            </w:tcMar>
            <w:vAlign w:val="center"/>
          </w:tcPr>
          <w:p w14:paraId="6166AFCE" w14:textId="77777777" w:rsidR="00793432" w:rsidRDefault="00000000">
            <w:pPr>
              <w:spacing w:line="288" w:lineRule="auto"/>
              <w:ind w:firstLine="360"/>
              <w:jc w:val="center"/>
            </w:pPr>
            <w:r>
              <w:rPr>
                <w:sz w:val="18"/>
              </w:rPr>
              <w:t>含义</w:t>
            </w:r>
          </w:p>
        </w:tc>
      </w:tr>
      <w:tr w:rsidR="00793432" w14:paraId="13888154" w14:textId="77777777">
        <w:trPr>
          <w:trHeight w:val="860"/>
          <w:jc w:val="center"/>
        </w:trPr>
        <w:tc>
          <w:tcPr>
            <w:tcW w:w="2101" w:type="dxa"/>
            <w:tcBorders>
              <w:top w:val="single" w:sz="4" w:space="0" w:color="auto"/>
              <w:left w:val="nil"/>
              <w:bottom w:val="nil"/>
              <w:right w:val="nil"/>
            </w:tcBorders>
            <w:tcMar>
              <w:top w:w="-1" w:type="dxa"/>
              <w:left w:w="-1" w:type="dxa"/>
              <w:bottom w:w="-1" w:type="dxa"/>
              <w:right w:w="-1" w:type="dxa"/>
            </w:tcMar>
            <w:vAlign w:val="center"/>
          </w:tcPr>
          <w:p w14:paraId="519B187A" w14:textId="77777777" w:rsidR="00793432" w:rsidRDefault="00000000">
            <w:pPr>
              <w:spacing w:line="288" w:lineRule="auto"/>
              <w:ind w:firstLine="360"/>
              <w:jc w:val="center"/>
            </w:pPr>
            <w:r>
              <w:rPr>
                <w:sz w:val="18"/>
              </w:rPr>
              <w:t>(2.1)</w:t>
            </w:r>
          </w:p>
        </w:tc>
        <w:tc>
          <w:tcPr>
            <w:tcW w:w="2520" w:type="dxa"/>
            <w:tcBorders>
              <w:top w:val="single" w:sz="4" w:space="0" w:color="auto"/>
              <w:left w:val="nil"/>
              <w:bottom w:val="nil"/>
              <w:right w:val="nil"/>
            </w:tcBorders>
            <w:tcMar>
              <w:top w:w="-1" w:type="dxa"/>
              <w:left w:w="-1" w:type="dxa"/>
              <w:bottom w:w="-1" w:type="dxa"/>
              <w:right w:w="-1" w:type="dxa"/>
            </w:tcMar>
            <w:vAlign w:val="center"/>
          </w:tcPr>
          <w:p w14:paraId="4606D271" w14:textId="77777777" w:rsidR="00793432" w:rsidRDefault="00000000">
            <w:pPr>
              <w:spacing w:line="288" w:lineRule="auto"/>
              <w:jc w:val="center"/>
            </w:pPr>
            <w:r>
              <w:rPr>
                <w:noProof/>
              </w:rPr>
              <w:drawing>
                <wp:inline distT="0" distB="0" distL="114300" distR="114300" wp14:anchorId="522638B9" wp14:editId="1F5AEBCC">
                  <wp:extent cx="1079500" cy="451485"/>
                  <wp:effectExtent l="0" t="0" r="0" b="0"/>
                  <wp:docPr id="9016" name="Picture 9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 name="Picture 9016"/>
                          <pic:cNvPicPr>
                            <a:picLocks noChangeAspect="1"/>
                          </pic:cNvPicPr>
                        </pic:nvPicPr>
                        <pic:blipFill>
                          <a:blip r:embed="rId31"/>
                          <a:stretch>
                            <a:fillRect/>
                          </a:stretch>
                        </pic:blipFill>
                        <pic:spPr>
                          <a:xfrm>
                            <a:off x="0" y="0"/>
                            <a:ext cx="1080000" cy="451587"/>
                          </a:xfrm>
                          <a:prstGeom prst="rect">
                            <a:avLst/>
                          </a:prstGeom>
                        </pic:spPr>
                      </pic:pic>
                    </a:graphicData>
                  </a:graphic>
                </wp:inline>
              </w:drawing>
            </w:r>
          </w:p>
        </w:tc>
        <w:tc>
          <w:tcPr>
            <w:tcW w:w="2477" w:type="dxa"/>
            <w:tcBorders>
              <w:top w:val="single" w:sz="4" w:space="0" w:color="auto"/>
              <w:left w:val="nil"/>
              <w:bottom w:val="nil"/>
              <w:right w:val="nil"/>
            </w:tcBorders>
            <w:tcMar>
              <w:top w:w="-1" w:type="dxa"/>
              <w:left w:w="-1" w:type="dxa"/>
              <w:bottom w:w="-1" w:type="dxa"/>
              <w:right w:w="-1" w:type="dxa"/>
            </w:tcMar>
            <w:vAlign w:val="center"/>
          </w:tcPr>
          <w:p w14:paraId="0EC415E4" w14:textId="77777777" w:rsidR="00793432" w:rsidRDefault="00000000">
            <w:pPr>
              <w:spacing w:line="288" w:lineRule="auto"/>
              <w:ind w:firstLine="360"/>
              <w:jc w:val="center"/>
            </w:pPr>
            <w:r>
              <w:rPr>
                <w:sz w:val="18"/>
              </w:rPr>
              <w:t>第</w:t>
            </w:r>
            <w:proofErr w:type="spellStart"/>
            <w:r>
              <w:rPr>
                <w:sz w:val="18"/>
              </w:rPr>
              <w:t>i</w:t>
            </w:r>
            <w:proofErr w:type="spellEnd"/>
            <w:r>
              <w:rPr>
                <w:sz w:val="18"/>
              </w:rPr>
              <w:t>个分子第</w:t>
            </w:r>
            <w:r>
              <w:rPr>
                <w:sz w:val="18"/>
              </w:rPr>
              <w:t>k</w:t>
            </w:r>
            <w:r>
              <w:rPr>
                <w:sz w:val="18"/>
              </w:rPr>
              <w:t>个重原子是否为反应位点</w:t>
            </w:r>
          </w:p>
        </w:tc>
      </w:tr>
      <w:tr w:rsidR="00793432" w14:paraId="11B35658" w14:textId="77777777">
        <w:trPr>
          <w:trHeight w:val="565"/>
          <w:jc w:val="center"/>
        </w:trPr>
        <w:tc>
          <w:tcPr>
            <w:tcW w:w="2101" w:type="dxa"/>
            <w:tcBorders>
              <w:top w:val="nil"/>
              <w:left w:val="nil"/>
              <w:bottom w:val="nil"/>
              <w:right w:val="nil"/>
            </w:tcBorders>
            <w:tcMar>
              <w:top w:w="-1" w:type="dxa"/>
              <w:left w:w="-1" w:type="dxa"/>
              <w:bottom w:w="-1" w:type="dxa"/>
              <w:right w:w="-1" w:type="dxa"/>
            </w:tcMar>
            <w:vAlign w:val="center"/>
          </w:tcPr>
          <w:p w14:paraId="76D64183" w14:textId="77777777" w:rsidR="00793432" w:rsidRDefault="00000000">
            <w:pPr>
              <w:spacing w:line="288" w:lineRule="auto"/>
              <w:ind w:firstLine="360"/>
              <w:jc w:val="center"/>
            </w:pPr>
            <w:r>
              <w:rPr>
                <w:sz w:val="18"/>
              </w:rPr>
              <w:t>(2.2)</w:t>
            </w:r>
          </w:p>
        </w:tc>
        <w:tc>
          <w:tcPr>
            <w:tcW w:w="2520" w:type="dxa"/>
            <w:tcBorders>
              <w:top w:val="nil"/>
              <w:left w:val="nil"/>
              <w:bottom w:val="nil"/>
              <w:right w:val="nil"/>
            </w:tcBorders>
            <w:tcMar>
              <w:top w:w="-1" w:type="dxa"/>
              <w:left w:w="-1" w:type="dxa"/>
              <w:bottom w:w="-1" w:type="dxa"/>
              <w:right w:w="-1" w:type="dxa"/>
            </w:tcMar>
            <w:vAlign w:val="center"/>
          </w:tcPr>
          <w:p w14:paraId="149C422B" w14:textId="77777777" w:rsidR="00793432" w:rsidRDefault="00000000">
            <w:pPr>
              <w:spacing w:line="288" w:lineRule="auto"/>
              <w:jc w:val="center"/>
            </w:pPr>
            <w:r>
              <w:rPr>
                <w:noProof/>
              </w:rPr>
              <w:drawing>
                <wp:inline distT="0" distB="0" distL="114300" distR="114300" wp14:anchorId="7E14BBBC" wp14:editId="7C731833">
                  <wp:extent cx="3095625" cy="659765"/>
                  <wp:effectExtent l="0" t="0" r="0" b="0"/>
                  <wp:docPr id="9017" name="Picture 9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 name="Picture 9017"/>
                          <pic:cNvPicPr>
                            <a:picLocks noChangeAspect="1"/>
                          </pic:cNvPicPr>
                        </pic:nvPicPr>
                        <pic:blipFill>
                          <a:blip r:embed="rId32"/>
                          <a:stretch>
                            <a:fillRect/>
                          </a:stretch>
                        </pic:blipFill>
                        <pic:spPr>
                          <a:xfrm>
                            <a:off x="0" y="0"/>
                            <a:ext cx="3096000" cy="659889"/>
                          </a:xfrm>
                          <a:prstGeom prst="rect">
                            <a:avLst/>
                          </a:prstGeom>
                        </pic:spPr>
                      </pic:pic>
                    </a:graphicData>
                  </a:graphic>
                </wp:inline>
              </w:drawing>
            </w:r>
          </w:p>
        </w:tc>
        <w:tc>
          <w:tcPr>
            <w:tcW w:w="2477" w:type="dxa"/>
            <w:tcBorders>
              <w:top w:val="nil"/>
              <w:left w:val="nil"/>
              <w:bottom w:val="nil"/>
              <w:right w:val="nil"/>
            </w:tcBorders>
            <w:tcMar>
              <w:top w:w="-1" w:type="dxa"/>
              <w:left w:w="-1" w:type="dxa"/>
              <w:bottom w:w="-1" w:type="dxa"/>
              <w:right w:w="-1" w:type="dxa"/>
            </w:tcMar>
            <w:vAlign w:val="center"/>
          </w:tcPr>
          <w:p w14:paraId="49A31D99" w14:textId="77777777" w:rsidR="00793432" w:rsidRDefault="00000000">
            <w:pPr>
              <w:spacing w:line="288" w:lineRule="auto"/>
              <w:ind w:firstLine="360"/>
              <w:jc w:val="center"/>
            </w:pPr>
            <w:r>
              <w:rPr>
                <w:sz w:val="18"/>
              </w:rPr>
              <w:t>原子级二分类交叉熵损失</w:t>
            </w:r>
          </w:p>
        </w:tc>
      </w:tr>
      <w:tr w:rsidR="00793432" w14:paraId="2836E106" w14:textId="77777777">
        <w:trPr>
          <w:trHeight w:val="500"/>
          <w:jc w:val="center"/>
        </w:trPr>
        <w:tc>
          <w:tcPr>
            <w:tcW w:w="2101" w:type="dxa"/>
            <w:tcBorders>
              <w:top w:val="nil"/>
              <w:left w:val="nil"/>
              <w:bottom w:val="nil"/>
              <w:right w:val="nil"/>
            </w:tcBorders>
            <w:tcMar>
              <w:top w:w="-1" w:type="dxa"/>
              <w:left w:w="-1" w:type="dxa"/>
              <w:bottom w:w="-1" w:type="dxa"/>
              <w:right w:w="-1" w:type="dxa"/>
            </w:tcMar>
            <w:vAlign w:val="center"/>
          </w:tcPr>
          <w:p w14:paraId="280426B1" w14:textId="77777777" w:rsidR="00793432" w:rsidRDefault="00000000">
            <w:pPr>
              <w:spacing w:line="288" w:lineRule="auto"/>
              <w:ind w:firstLine="360"/>
              <w:jc w:val="center"/>
            </w:pPr>
            <w:r>
              <w:rPr>
                <w:sz w:val="18"/>
              </w:rPr>
              <w:t>(2.3)</w:t>
            </w:r>
          </w:p>
        </w:tc>
        <w:tc>
          <w:tcPr>
            <w:tcW w:w="2520" w:type="dxa"/>
            <w:tcBorders>
              <w:top w:val="nil"/>
              <w:left w:val="nil"/>
              <w:bottom w:val="nil"/>
              <w:right w:val="nil"/>
            </w:tcBorders>
            <w:tcMar>
              <w:top w:w="-1" w:type="dxa"/>
              <w:left w:w="-1" w:type="dxa"/>
              <w:bottom w:w="-1" w:type="dxa"/>
              <w:right w:w="-1" w:type="dxa"/>
            </w:tcMar>
            <w:vAlign w:val="center"/>
          </w:tcPr>
          <w:p w14:paraId="424D1B09" w14:textId="77777777" w:rsidR="00793432" w:rsidRDefault="00000000">
            <w:pPr>
              <w:spacing w:line="288" w:lineRule="auto"/>
              <w:jc w:val="center"/>
            </w:pPr>
            <w:r>
              <w:rPr>
                <w:noProof/>
              </w:rPr>
              <w:drawing>
                <wp:inline distT="0" distB="0" distL="114300" distR="114300" wp14:anchorId="667454EF" wp14:editId="17EB5122">
                  <wp:extent cx="3023870" cy="424815"/>
                  <wp:effectExtent l="0" t="0" r="0" b="0"/>
                  <wp:docPr id="9018" name="Picture 9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 name="Picture 9018"/>
                          <pic:cNvPicPr>
                            <a:picLocks noChangeAspect="1"/>
                          </pic:cNvPicPr>
                        </pic:nvPicPr>
                        <pic:blipFill>
                          <a:blip r:embed="rId33"/>
                          <a:stretch>
                            <a:fillRect/>
                          </a:stretch>
                        </pic:blipFill>
                        <pic:spPr>
                          <a:xfrm>
                            <a:off x="0" y="0"/>
                            <a:ext cx="3024000" cy="425038"/>
                          </a:xfrm>
                          <a:prstGeom prst="rect">
                            <a:avLst/>
                          </a:prstGeom>
                        </pic:spPr>
                      </pic:pic>
                    </a:graphicData>
                  </a:graphic>
                </wp:inline>
              </w:drawing>
            </w:r>
          </w:p>
        </w:tc>
        <w:tc>
          <w:tcPr>
            <w:tcW w:w="2477" w:type="dxa"/>
            <w:tcBorders>
              <w:top w:val="nil"/>
              <w:left w:val="nil"/>
              <w:bottom w:val="nil"/>
              <w:right w:val="nil"/>
            </w:tcBorders>
            <w:tcMar>
              <w:top w:w="-1" w:type="dxa"/>
              <w:left w:w="-1" w:type="dxa"/>
              <w:bottom w:w="-1" w:type="dxa"/>
              <w:right w:w="-1" w:type="dxa"/>
            </w:tcMar>
            <w:vAlign w:val="center"/>
          </w:tcPr>
          <w:p w14:paraId="2312EDBB" w14:textId="77777777" w:rsidR="00793432" w:rsidRDefault="00000000">
            <w:pPr>
              <w:spacing w:line="288" w:lineRule="auto"/>
              <w:ind w:firstLine="360"/>
              <w:jc w:val="center"/>
            </w:pPr>
            <w:r>
              <w:rPr>
                <w:sz w:val="18"/>
              </w:rPr>
              <w:t>Fukui</w:t>
            </w:r>
            <w:r>
              <w:rPr>
                <w:sz w:val="18"/>
              </w:rPr>
              <w:t>有限差分</w:t>
            </w:r>
          </w:p>
        </w:tc>
      </w:tr>
      <w:tr w:rsidR="00793432" w14:paraId="69E26273" w14:textId="77777777">
        <w:trPr>
          <w:trHeight w:val="560"/>
          <w:jc w:val="center"/>
        </w:trPr>
        <w:tc>
          <w:tcPr>
            <w:tcW w:w="2101" w:type="dxa"/>
            <w:tcBorders>
              <w:top w:val="nil"/>
              <w:left w:val="nil"/>
              <w:bottom w:val="nil"/>
              <w:right w:val="nil"/>
            </w:tcBorders>
            <w:tcMar>
              <w:top w:w="-1" w:type="dxa"/>
              <w:left w:w="-1" w:type="dxa"/>
              <w:bottom w:w="-1" w:type="dxa"/>
              <w:right w:w="-1" w:type="dxa"/>
            </w:tcMar>
            <w:vAlign w:val="center"/>
          </w:tcPr>
          <w:p w14:paraId="5C635E99" w14:textId="77777777" w:rsidR="00793432" w:rsidRDefault="00000000">
            <w:pPr>
              <w:spacing w:line="288" w:lineRule="auto"/>
              <w:ind w:firstLine="360"/>
              <w:jc w:val="center"/>
            </w:pPr>
            <w:r>
              <w:rPr>
                <w:sz w:val="18"/>
              </w:rPr>
              <w:t>(2.4)</w:t>
            </w:r>
          </w:p>
        </w:tc>
        <w:tc>
          <w:tcPr>
            <w:tcW w:w="2520" w:type="dxa"/>
            <w:tcBorders>
              <w:top w:val="nil"/>
              <w:left w:val="nil"/>
              <w:bottom w:val="nil"/>
              <w:right w:val="nil"/>
            </w:tcBorders>
            <w:tcMar>
              <w:top w:w="-1" w:type="dxa"/>
              <w:left w:w="-1" w:type="dxa"/>
              <w:bottom w:w="-1" w:type="dxa"/>
              <w:right w:w="-1" w:type="dxa"/>
            </w:tcMar>
            <w:vAlign w:val="center"/>
          </w:tcPr>
          <w:p w14:paraId="6B30EEFE" w14:textId="77777777" w:rsidR="00793432" w:rsidRDefault="00000000">
            <w:pPr>
              <w:spacing w:line="288" w:lineRule="auto"/>
              <w:jc w:val="center"/>
            </w:pPr>
            <w:r>
              <w:rPr>
                <w:noProof/>
              </w:rPr>
              <w:drawing>
                <wp:inline distT="0" distB="0" distL="114300" distR="114300" wp14:anchorId="399445F1" wp14:editId="084BF80F">
                  <wp:extent cx="2591435" cy="447040"/>
                  <wp:effectExtent l="0" t="0" r="0" b="0"/>
                  <wp:docPr id="9019" name="Picture 9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 name="Picture 9019"/>
                          <pic:cNvPicPr>
                            <a:picLocks noChangeAspect="1"/>
                          </pic:cNvPicPr>
                        </pic:nvPicPr>
                        <pic:blipFill>
                          <a:blip r:embed="rId34"/>
                          <a:stretch>
                            <a:fillRect/>
                          </a:stretch>
                        </pic:blipFill>
                        <pic:spPr>
                          <a:xfrm>
                            <a:off x="0" y="0"/>
                            <a:ext cx="2592000" cy="447280"/>
                          </a:xfrm>
                          <a:prstGeom prst="rect">
                            <a:avLst/>
                          </a:prstGeom>
                        </pic:spPr>
                      </pic:pic>
                    </a:graphicData>
                  </a:graphic>
                </wp:inline>
              </w:drawing>
            </w:r>
          </w:p>
        </w:tc>
        <w:tc>
          <w:tcPr>
            <w:tcW w:w="2477" w:type="dxa"/>
            <w:tcBorders>
              <w:top w:val="nil"/>
              <w:left w:val="nil"/>
              <w:bottom w:val="nil"/>
              <w:right w:val="nil"/>
            </w:tcBorders>
            <w:tcMar>
              <w:top w:w="-1" w:type="dxa"/>
              <w:left w:w="-1" w:type="dxa"/>
              <w:bottom w:w="-1" w:type="dxa"/>
              <w:right w:w="-1" w:type="dxa"/>
            </w:tcMar>
            <w:vAlign w:val="center"/>
          </w:tcPr>
          <w:p w14:paraId="4F4D7731" w14:textId="77777777" w:rsidR="00793432" w:rsidRDefault="00000000">
            <w:pPr>
              <w:spacing w:line="288" w:lineRule="auto"/>
              <w:ind w:firstLine="360"/>
              <w:jc w:val="center"/>
            </w:pPr>
            <w:r>
              <w:rPr>
                <w:sz w:val="18"/>
              </w:rPr>
              <w:t>有向消息传递更新</w:t>
            </w:r>
          </w:p>
        </w:tc>
      </w:tr>
      <w:tr w:rsidR="00793432" w14:paraId="6CF29267" w14:textId="77777777">
        <w:trPr>
          <w:trHeight w:val="565"/>
          <w:jc w:val="center"/>
        </w:trPr>
        <w:tc>
          <w:tcPr>
            <w:tcW w:w="2101" w:type="dxa"/>
            <w:tcBorders>
              <w:top w:val="nil"/>
              <w:left w:val="nil"/>
              <w:bottom w:val="nil"/>
              <w:right w:val="nil"/>
            </w:tcBorders>
            <w:tcMar>
              <w:top w:w="-1" w:type="dxa"/>
              <w:left w:w="-1" w:type="dxa"/>
              <w:bottom w:w="-1" w:type="dxa"/>
              <w:right w:w="-1" w:type="dxa"/>
            </w:tcMar>
            <w:vAlign w:val="center"/>
          </w:tcPr>
          <w:p w14:paraId="2CE7B2D7" w14:textId="77777777" w:rsidR="00793432" w:rsidRDefault="00000000">
            <w:pPr>
              <w:spacing w:line="288" w:lineRule="auto"/>
              <w:ind w:firstLine="360"/>
              <w:jc w:val="center"/>
            </w:pPr>
            <w:r>
              <w:rPr>
                <w:sz w:val="18"/>
              </w:rPr>
              <w:t>(2.5)</w:t>
            </w:r>
          </w:p>
        </w:tc>
        <w:tc>
          <w:tcPr>
            <w:tcW w:w="2520" w:type="dxa"/>
            <w:tcBorders>
              <w:top w:val="nil"/>
              <w:left w:val="nil"/>
              <w:bottom w:val="nil"/>
              <w:right w:val="nil"/>
            </w:tcBorders>
            <w:tcMar>
              <w:top w:w="-1" w:type="dxa"/>
              <w:left w:w="-1" w:type="dxa"/>
              <w:bottom w:w="-1" w:type="dxa"/>
              <w:right w:w="-1" w:type="dxa"/>
            </w:tcMar>
            <w:vAlign w:val="center"/>
          </w:tcPr>
          <w:p w14:paraId="4FC4AC82" w14:textId="77777777" w:rsidR="00793432" w:rsidRDefault="00000000">
            <w:pPr>
              <w:spacing w:line="288" w:lineRule="auto"/>
              <w:jc w:val="center"/>
            </w:pPr>
            <w:r>
              <w:rPr>
                <w:noProof/>
              </w:rPr>
              <w:drawing>
                <wp:inline distT="0" distB="0" distL="114300" distR="114300" wp14:anchorId="65781231" wp14:editId="4A5ECB39">
                  <wp:extent cx="1619885" cy="685800"/>
                  <wp:effectExtent l="0" t="0" r="0" b="0"/>
                  <wp:docPr id="9020" name="Picture 9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 name="Picture 9020"/>
                          <pic:cNvPicPr>
                            <a:picLocks noChangeAspect="1"/>
                          </pic:cNvPicPr>
                        </pic:nvPicPr>
                        <pic:blipFill>
                          <a:blip r:embed="rId35"/>
                          <a:stretch>
                            <a:fillRect/>
                          </a:stretch>
                        </pic:blipFill>
                        <pic:spPr>
                          <a:xfrm>
                            <a:off x="0" y="0"/>
                            <a:ext cx="1620000" cy="686020"/>
                          </a:xfrm>
                          <a:prstGeom prst="rect">
                            <a:avLst/>
                          </a:prstGeom>
                        </pic:spPr>
                      </pic:pic>
                    </a:graphicData>
                  </a:graphic>
                </wp:inline>
              </w:drawing>
            </w:r>
          </w:p>
        </w:tc>
        <w:tc>
          <w:tcPr>
            <w:tcW w:w="2477" w:type="dxa"/>
            <w:tcBorders>
              <w:top w:val="nil"/>
              <w:left w:val="nil"/>
              <w:bottom w:val="nil"/>
              <w:right w:val="nil"/>
            </w:tcBorders>
            <w:tcMar>
              <w:top w:w="-1" w:type="dxa"/>
              <w:left w:w="-1" w:type="dxa"/>
              <w:bottom w:w="-1" w:type="dxa"/>
              <w:right w:w="-1" w:type="dxa"/>
            </w:tcMar>
            <w:vAlign w:val="center"/>
          </w:tcPr>
          <w:p w14:paraId="471ADF3A" w14:textId="77777777" w:rsidR="00793432" w:rsidRDefault="00000000">
            <w:pPr>
              <w:spacing w:line="288" w:lineRule="auto"/>
              <w:ind w:firstLine="360"/>
              <w:jc w:val="center"/>
            </w:pPr>
            <w:r>
              <w:rPr>
                <w:sz w:val="18"/>
              </w:rPr>
              <w:t>Precision-Recall</w:t>
            </w:r>
            <w:r>
              <w:rPr>
                <w:sz w:val="18"/>
              </w:rPr>
              <w:t>曲线下面积</w:t>
            </w:r>
          </w:p>
        </w:tc>
      </w:tr>
      <w:tr w:rsidR="00793432" w14:paraId="1D5236D8" w14:textId="77777777">
        <w:trPr>
          <w:trHeight w:val="745"/>
          <w:jc w:val="center"/>
        </w:trPr>
        <w:tc>
          <w:tcPr>
            <w:tcW w:w="2101" w:type="dxa"/>
            <w:tcBorders>
              <w:top w:val="nil"/>
              <w:left w:val="nil"/>
              <w:bottom w:val="nil"/>
              <w:right w:val="nil"/>
            </w:tcBorders>
            <w:tcMar>
              <w:top w:w="-1" w:type="dxa"/>
              <w:left w:w="-1" w:type="dxa"/>
              <w:bottom w:w="-1" w:type="dxa"/>
              <w:right w:w="-1" w:type="dxa"/>
            </w:tcMar>
            <w:vAlign w:val="center"/>
          </w:tcPr>
          <w:p w14:paraId="30E76D8F" w14:textId="77777777" w:rsidR="00793432" w:rsidRDefault="00000000">
            <w:pPr>
              <w:spacing w:line="288" w:lineRule="auto"/>
              <w:ind w:firstLine="360"/>
              <w:jc w:val="center"/>
            </w:pPr>
            <w:r>
              <w:rPr>
                <w:sz w:val="18"/>
              </w:rPr>
              <w:t>(4.1)</w:t>
            </w:r>
          </w:p>
        </w:tc>
        <w:tc>
          <w:tcPr>
            <w:tcW w:w="2520" w:type="dxa"/>
            <w:tcBorders>
              <w:top w:val="nil"/>
              <w:left w:val="nil"/>
              <w:bottom w:val="nil"/>
              <w:right w:val="nil"/>
            </w:tcBorders>
            <w:tcMar>
              <w:top w:w="-1" w:type="dxa"/>
              <w:left w:w="-1" w:type="dxa"/>
              <w:bottom w:w="-1" w:type="dxa"/>
              <w:right w:w="-1" w:type="dxa"/>
            </w:tcMar>
            <w:vAlign w:val="center"/>
          </w:tcPr>
          <w:p w14:paraId="3962CF68" w14:textId="77777777" w:rsidR="00793432" w:rsidRDefault="00000000">
            <w:pPr>
              <w:spacing w:line="288" w:lineRule="auto"/>
              <w:jc w:val="center"/>
            </w:pPr>
            <w:r>
              <w:rPr>
                <w:noProof/>
              </w:rPr>
              <w:drawing>
                <wp:inline distT="0" distB="0" distL="114300" distR="114300" wp14:anchorId="31A7395A" wp14:editId="774FFDE5">
                  <wp:extent cx="3095625" cy="575945"/>
                  <wp:effectExtent l="0" t="0" r="0" b="0"/>
                  <wp:docPr id="9021" name="Picture 9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 name="Picture 9021"/>
                          <pic:cNvPicPr>
                            <a:picLocks noChangeAspect="1"/>
                          </pic:cNvPicPr>
                        </pic:nvPicPr>
                        <pic:blipFill>
                          <a:blip r:embed="rId36"/>
                          <a:stretch>
                            <a:fillRect/>
                          </a:stretch>
                        </pic:blipFill>
                        <pic:spPr>
                          <a:xfrm>
                            <a:off x="0" y="0"/>
                            <a:ext cx="3096000" cy="576497"/>
                          </a:xfrm>
                          <a:prstGeom prst="rect">
                            <a:avLst/>
                          </a:prstGeom>
                        </pic:spPr>
                      </pic:pic>
                    </a:graphicData>
                  </a:graphic>
                </wp:inline>
              </w:drawing>
            </w:r>
          </w:p>
        </w:tc>
        <w:tc>
          <w:tcPr>
            <w:tcW w:w="2477" w:type="dxa"/>
            <w:tcBorders>
              <w:top w:val="nil"/>
              <w:left w:val="nil"/>
              <w:bottom w:val="nil"/>
              <w:right w:val="nil"/>
            </w:tcBorders>
            <w:tcMar>
              <w:top w:w="-1" w:type="dxa"/>
              <w:left w:w="-1" w:type="dxa"/>
              <w:bottom w:w="-1" w:type="dxa"/>
              <w:right w:w="-1" w:type="dxa"/>
            </w:tcMar>
            <w:vAlign w:val="center"/>
          </w:tcPr>
          <w:p w14:paraId="1EBB9510" w14:textId="77777777" w:rsidR="00793432" w:rsidRDefault="00000000">
            <w:pPr>
              <w:spacing w:line="288" w:lineRule="auto"/>
              <w:ind w:firstLine="360"/>
              <w:jc w:val="center"/>
            </w:pPr>
            <w:r>
              <w:rPr>
                <w:sz w:val="18"/>
              </w:rPr>
              <w:t>分子内</w:t>
            </w:r>
            <w:r>
              <w:rPr>
                <w:sz w:val="18"/>
              </w:rPr>
              <w:t>Top-K</w:t>
            </w:r>
            <w:r>
              <w:rPr>
                <w:sz w:val="18"/>
              </w:rPr>
              <w:t>命中率</w:t>
            </w:r>
          </w:p>
        </w:tc>
      </w:tr>
      <w:tr w:rsidR="00793432" w14:paraId="5345D802" w14:textId="77777777">
        <w:trPr>
          <w:trHeight w:val="620"/>
          <w:jc w:val="center"/>
        </w:trPr>
        <w:tc>
          <w:tcPr>
            <w:tcW w:w="2101" w:type="dxa"/>
            <w:tcBorders>
              <w:top w:val="nil"/>
              <w:left w:val="nil"/>
              <w:bottom w:val="single" w:sz="12" w:space="0" w:color="auto"/>
              <w:right w:val="nil"/>
            </w:tcBorders>
            <w:tcMar>
              <w:top w:w="-1" w:type="dxa"/>
              <w:left w:w="-1" w:type="dxa"/>
              <w:bottom w:w="-1" w:type="dxa"/>
              <w:right w:w="-1" w:type="dxa"/>
            </w:tcMar>
            <w:vAlign w:val="center"/>
          </w:tcPr>
          <w:p w14:paraId="760EC080" w14:textId="77777777" w:rsidR="00793432" w:rsidRDefault="00000000">
            <w:pPr>
              <w:spacing w:line="288" w:lineRule="auto"/>
              <w:ind w:firstLine="360"/>
              <w:jc w:val="center"/>
            </w:pPr>
            <w:r>
              <w:rPr>
                <w:sz w:val="18"/>
              </w:rPr>
              <w:t>(4.2)</w:t>
            </w:r>
          </w:p>
        </w:tc>
        <w:tc>
          <w:tcPr>
            <w:tcW w:w="2520" w:type="dxa"/>
            <w:tcBorders>
              <w:top w:val="nil"/>
              <w:left w:val="nil"/>
              <w:bottom w:val="single" w:sz="12" w:space="0" w:color="auto"/>
              <w:right w:val="nil"/>
            </w:tcBorders>
            <w:tcMar>
              <w:top w:w="-1" w:type="dxa"/>
              <w:left w:w="-1" w:type="dxa"/>
              <w:bottom w:w="-1" w:type="dxa"/>
              <w:right w:w="-1" w:type="dxa"/>
            </w:tcMar>
            <w:vAlign w:val="center"/>
          </w:tcPr>
          <w:p w14:paraId="2EFBEC02" w14:textId="77777777" w:rsidR="00793432" w:rsidRDefault="00000000">
            <w:pPr>
              <w:spacing w:line="288" w:lineRule="auto"/>
              <w:jc w:val="center"/>
            </w:pPr>
            <w:r>
              <w:rPr>
                <w:noProof/>
              </w:rPr>
              <w:drawing>
                <wp:inline distT="0" distB="0" distL="114300" distR="114300" wp14:anchorId="52CC2FFA" wp14:editId="7E597856">
                  <wp:extent cx="1439545" cy="395605"/>
                  <wp:effectExtent l="0" t="0" r="0" b="0"/>
                  <wp:docPr id="9022" name="Picture 9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 name="Picture 9022"/>
                          <pic:cNvPicPr>
                            <a:picLocks noChangeAspect="1"/>
                          </pic:cNvPicPr>
                        </pic:nvPicPr>
                        <pic:blipFill>
                          <a:blip r:embed="rId37"/>
                          <a:stretch>
                            <a:fillRect/>
                          </a:stretch>
                        </pic:blipFill>
                        <pic:spPr>
                          <a:xfrm>
                            <a:off x="0" y="0"/>
                            <a:ext cx="1440000" cy="396205"/>
                          </a:xfrm>
                          <a:prstGeom prst="rect">
                            <a:avLst/>
                          </a:prstGeom>
                        </pic:spPr>
                      </pic:pic>
                    </a:graphicData>
                  </a:graphic>
                </wp:inline>
              </w:drawing>
            </w:r>
          </w:p>
        </w:tc>
        <w:tc>
          <w:tcPr>
            <w:tcW w:w="2477" w:type="dxa"/>
            <w:tcBorders>
              <w:top w:val="nil"/>
              <w:left w:val="nil"/>
              <w:bottom w:val="single" w:sz="12" w:space="0" w:color="auto"/>
              <w:right w:val="nil"/>
            </w:tcBorders>
            <w:tcMar>
              <w:top w:w="-1" w:type="dxa"/>
              <w:left w:w="-1" w:type="dxa"/>
              <w:bottom w:w="-1" w:type="dxa"/>
              <w:right w:w="-1" w:type="dxa"/>
            </w:tcMar>
            <w:vAlign w:val="center"/>
          </w:tcPr>
          <w:p w14:paraId="1199C5CC" w14:textId="77777777" w:rsidR="00793432" w:rsidRDefault="00000000">
            <w:pPr>
              <w:spacing w:line="288" w:lineRule="auto"/>
              <w:ind w:firstLine="360"/>
              <w:jc w:val="center"/>
            </w:pPr>
            <w:r>
              <w:rPr>
                <w:sz w:val="18"/>
              </w:rPr>
              <w:t>分子级分组切分约束</w:t>
            </w:r>
          </w:p>
        </w:tc>
      </w:tr>
    </w:tbl>
    <w:p w14:paraId="7E3AA291" w14:textId="77777777" w:rsidR="00793432" w:rsidRDefault="00000000">
      <w:r>
        <w:t>在指标实现上，</w:t>
      </w:r>
      <w:r>
        <w:t>PRC</w:t>
      </w:r>
      <w:r>
        <w:t>采用</w:t>
      </w:r>
      <w:r>
        <w:t>average precision</w:t>
      </w:r>
      <w:r>
        <w:t>计算，</w:t>
      </w:r>
      <w:r>
        <w:t>ROC-AUC</w:t>
      </w:r>
      <w:r>
        <w:t>用于辅助观察模型区分能力。</w:t>
      </w:r>
      <w:proofErr w:type="spellStart"/>
      <w:r>
        <w:t>Hit@K</w:t>
      </w:r>
      <w:proofErr w:type="spellEnd"/>
      <w:r>
        <w:t>在分子内重原子数不足</w:t>
      </w:r>
      <w:r>
        <w:t>K</w:t>
      </w:r>
      <w:r>
        <w:t>时自动截断，不含正类反应位点的分子不计入</w:t>
      </w:r>
      <w:proofErr w:type="spellStart"/>
      <w:r>
        <w:t>Hit@K</w:t>
      </w:r>
      <w:proofErr w:type="spellEnd"/>
      <w:r>
        <w:t>分母。本文所有主结果均为五个固定随机种子的均值，标准差作为小样本划分不确定性的参考。</w:t>
      </w:r>
    </w:p>
    <w:p w14:paraId="2A7B9062" w14:textId="77777777" w:rsidR="00793432" w:rsidRDefault="00000000">
      <w:r>
        <w:t>训练</w:t>
      </w:r>
      <w:r>
        <w:t>-</w:t>
      </w:r>
      <w:r>
        <w:t>验证切分对最终指标具有显著影响。同一特征</w:t>
      </w:r>
      <w:r>
        <w:t>-</w:t>
      </w:r>
      <w:r>
        <w:t>模型组合在不同种子下的</w:t>
      </w:r>
      <w:r>
        <w:t>PRC</w:t>
      </w:r>
      <w:r>
        <w:t>可能出现</w:t>
      </w:r>
      <w:r>
        <w:t>0.05</w:t>
      </w:r>
      <w:r>
        <w:t>至</w:t>
      </w:r>
      <w:r>
        <w:t>0.10</w:t>
      </w:r>
      <w:r>
        <w:t>的波动，接近甚至超过部分特征组合之间的均值差异。因此，本文在解释特征消融时强调均值趋势和化学合理性，而不把单一划分下的数值差异扩大为普遍结论。</w:t>
      </w:r>
    </w:p>
    <w:p w14:paraId="615ED53E" w14:textId="77777777" w:rsidR="00793432" w:rsidRDefault="00793432"/>
    <w:p w14:paraId="0E279CF8" w14:textId="77777777" w:rsidR="00793432" w:rsidRDefault="00793432">
      <w:pPr>
        <w:spacing w:line="400" w:lineRule="atLeast"/>
        <w:ind w:firstLineChars="0" w:firstLine="0"/>
        <w:sectPr w:rsidR="00793432">
          <w:headerReference w:type="default" r:id="rId38"/>
          <w:pgSz w:w="11906" w:h="16838"/>
          <w:pgMar w:top="1440" w:right="1797" w:bottom="1440" w:left="1797" w:header="850" w:footer="992" w:gutter="0"/>
          <w:cols w:space="720"/>
        </w:sectPr>
      </w:pPr>
    </w:p>
    <w:p w14:paraId="20BD89B9" w14:textId="77777777" w:rsidR="00793432" w:rsidRDefault="00000000">
      <w:pPr>
        <w:pStyle w:val="1"/>
        <w:spacing w:line="360" w:lineRule="auto"/>
        <w:ind w:firstLine="643"/>
      </w:pPr>
      <w:bookmarkStart w:id="21" w:name="_Toc5416"/>
      <w:r>
        <w:lastRenderedPageBreak/>
        <w:t>第</w:t>
      </w:r>
      <w:r>
        <w:t>5</w:t>
      </w:r>
      <w:r>
        <w:t>章实验结果与分析</w:t>
      </w:r>
      <w:bookmarkEnd w:id="21"/>
    </w:p>
    <w:p w14:paraId="22593774" w14:textId="77777777" w:rsidR="00793432" w:rsidRDefault="00000000">
      <w:pPr>
        <w:pStyle w:val="2"/>
        <w:spacing w:line="360" w:lineRule="auto"/>
        <w:ind w:firstLineChars="0" w:firstLine="0"/>
      </w:pPr>
      <w:bookmarkStart w:id="22" w:name="_Toc17661"/>
      <w:r>
        <w:t>5.1Gaussian-138</w:t>
      </w:r>
      <w:r>
        <w:t>上</w:t>
      </w:r>
      <w:proofErr w:type="spellStart"/>
      <w:r>
        <w:t>Chemprop</w:t>
      </w:r>
      <w:proofErr w:type="spellEnd"/>
      <w:r>
        <w:t>配置对比</w:t>
      </w:r>
      <w:bookmarkEnd w:id="22"/>
    </w:p>
    <w:p w14:paraId="53B12E49" w14:textId="77777777" w:rsidR="00793432" w:rsidRDefault="00000000">
      <w:pPr>
        <w:pStyle w:val="a3"/>
        <w:ind w:firstLine="422"/>
      </w:pPr>
      <w:r>
        <w:rPr>
          <w:rFonts w:ascii="Times New Roman" w:hAnsi="Times New Roman"/>
        </w:rPr>
        <w:t>表</w:t>
      </w:r>
      <w:r>
        <w:rPr>
          <w:rFonts w:ascii="Times New Roman" w:hAnsi="Times New Roman"/>
        </w:rPr>
        <w:t>5-1 Gaussian-138</w:t>
      </w:r>
      <w:r>
        <w:rPr>
          <w:rFonts w:ascii="Times New Roman" w:hAnsi="Times New Roman"/>
        </w:rPr>
        <w:t>数据集</w:t>
      </w:r>
      <w:proofErr w:type="spellStart"/>
      <w:r>
        <w:rPr>
          <w:rFonts w:ascii="Times New Roman" w:hAnsi="Times New Roman"/>
        </w:rPr>
        <w:t>Chemprop</w:t>
      </w:r>
      <w:proofErr w:type="spellEnd"/>
      <w:r>
        <w:rPr>
          <w:rFonts w:ascii="Times New Roman" w:hAnsi="Times New Roman"/>
        </w:rPr>
        <w:t>配置对比</w:t>
      </w:r>
    </w:p>
    <w:tbl>
      <w:tblPr>
        <w:tblStyle w:val="aa"/>
        <w:tblW w:w="0" w:type="auto"/>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632"/>
        <w:gridCol w:w="1287"/>
        <w:gridCol w:w="1661"/>
        <w:gridCol w:w="1244"/>
        <w:gridCol w:w="1244"/>
        <w:gridCol w:w="1244"/>
      </w:tblGrid>
      <w:tr w:rsidR="00793432" w14:paraId="18494237" w14:textId="77777777">
        <w:trPr>
          <w:jc w:val="center"/>
        </w:trPr>
        <w:tc>
          <w:tcPr>
            <w:tcW w:w="1384" w:type="dxa"/>
            <w:tcBorders>
              <w:top w:val="single" w:sz="12" w:space="0" w:color="auto"/>
              <w:left w:val="nil"/>
              <w:bottom w:val="nil"/>
              <w:right w:val="nil"/>
            </w:tcBorders>
            <w:tcMar>
              <w:top w:w="-1" w:type="dxa"/>
              <w:left w:w="-1" w:type="dxa"/>
              <w:bottom w:w="-1" w:type="dxa"/>
              <w:right w:w="-1" w:type="dxa"/>
            </w:tcMar>
            <w:vAlign w:val="center"/>
          </w:tcPr>
          <w:p w14:paraId="4F499BDB" w14:textId="77777777" w:rsidR="00793432" w:rsidRDefault="00000000">
            <w:pPr>
              <w:spacing w:line="288" w:lineRule="auto"/>
              <w:ind w:firstLine="360"/>
              <w:jc w:val="center"/>
            </w:pPr>
            <w:r>
              <w:rPr>
                <w:sz w:val="18"/>
              </w:rPr>
              <w:t>训练设置</w:t>
            </w:r>
          </w:p>
        </w:tc>
        <w:tc>
          <w:tcPr>
            <w:tcW w:w="1384" w:type="dxa"/>
            <w:tcBorders>
              <w:top w:val="single" w:sz="12" w:space="0" w:color="auto"/>
              <w:left w:val="nil"/>
              <w:bottom w:val="nil"/>
              <w:right w:val="nil"/>
            </w:tcBorders>
            <w:tcMar>
              <w:top w:w="-1" w:type="dxa"/>
              <w:left w:w="-1" w:type="dxa"/>
              <w:bottom w:w="-1" w:type="dxa"/>
              <w:right w:w="-1" w:type="dxa"/>
            </w:tcMar>
            <w:vAlign w:val="center"/>
          </w:tcPr>
          <w:p w14:paraId="55ED0BA1" w14:textId="77777777" w:rsidR="00793432" w:rsidRDefault="00000000">
            <w:pPr>
              <w:spacing w:line="288" w:lineRule="auto"/>
              <w:ind w:firstLine="360"/>
              <w:jc w:val="center"/>
            </w:pPr>
            <w:r>
              <w:rPr>
                <w:sz w:val="18"/>
              </w:rPr>
              <w:t>Gaussian</w:t>
            </w:r>
            <w:r>
              <w:rPr>
                <w:sz w:val="18"/>
              </w:rPr>
              <w:t>特征</w:t>
            </w:r>
          </w:p>
        </w:tc>
        <w:tc>
          <w:tcPr>
            <w:tcW w:w="1384" w:type="dxa"/>
            <w:tcBorders>
              <w:top w:val="single" w:sz="12" w:space="0" w:color="auto"/>
              <w:left w:val="nil"/>
              <w:bottom w:val="nil"/>
              <w:right w:val="nil"/>
            </w:tcBorders>
            <w:tcMar>
              <w:top w:w="-1" w:type="dxa"/>
              <w:left w:w="-1" w:type="dxa"/>
              <w:bottom w:w="-1" w:type="dxa"/>
              <w:right w:w="-1" w:type="dxa"/>
            </w:tcMar>
            <w:vAlign w:val="center"/>
          </w:tcPr>
          <w:p w14:paraId="01E40EFC" w14:textId="77777777" w:rsidR="00793432" w:rsidRDefault="00000000">
            <w:pPr>
              <w:spacing w:line="288" w:lineRule="auto"/>
              <w:ind w:firstLine="360"/>
              <w:jc w:val="center"/>
            </w:pPr>
            <w:r>
              <w:rPr>
                <w:sz w:val="18"/>
              </w:rPr>
              <w:t>PRC</w:t>
            </w:r>
          </w:p>
        </w:tc>
        <w:tc>
          <w:tcPr>
            <w:tcW w:w="1384" w:type="dxa"/>
            <w:tcBorders>
              <w:top w:val="single" w:sz="12" w:space="0" w:color="auto"/>
              <w:left w:val="nil"/>
              <w:bottom w:val="nil"/>
              <w:right w:val="nil"/>
            </w:tcBorders>
            <w:tcMar>
              <w:top w:w="-1" w:type="dxa"/>
              <w:left w:w="-1" w:type="dxa"/>
              <w:bottom w:w="-1" w:type="dxa"/>
              <w:right w:w="-1" w:type="dxa"/>
            </w:tcMar>
            <w:vAlign w:val="center"/>
          </w:tcPr>
          <w:p w14:paraId="251F97D0" w14:textId="77777777" w:rsidR="00793432" w:rsidRDefault="00000000">
            <w:pPr>
              <w:spacing w:line="288" w:lineRule="auto"/>
              <w:ind w:firstLine="360"/>
              <w:jc w:val="center"/>
            </w:pPr>
            <w:r>
              <w:rPr>
                <w:sz w:val="18"/>
              </w:rPr>
              <w:t>Best F1</w:t>
            </w:r>
          </w:p>
        </w:tc>
        <w:tc>
          <w:tcPr>
            <w:tcW w:w="1384" w:type="dxa"/>
            <w:tcBorders>
              <w:top w:val="single" w:sz="12" w:space="0" w:color="auto"/>
              <w:left w:val="nil"/>
              <w:bottom w:val="nil"/>
              <w:right w:val="nil"/>
            </w:tcBorders>
            <w:tcMar>
              <w:top w:w="-1" w:type="dxa"/>
              <w:left w:w="-1" w:type="dxa"/>
              <w:bottom w:w="-1" w:type="dxa"/>
              <w:right w:w="-1" w:type="dxa"/>
            </w:tcMar>
            <w:vAlign w:val="center"/>
          </w:tcPr>
          <w:p w14:paraId="480FDE3B" w14:textId="77777777" w:rsidR="00793432" w:rsidRDefault="00000000">
            <w:pPr>
              <w:spacing w:line="288" w:lineRule="auto"/>
              <w:ind w:firstLine="360"/>
              <w:jc w:val="center"/>
            </w:pPr>
            <w:r>
              <w:rPr>
                <w:sz w:val="18"/>
              </w:rPr>
              <w:t>Hit@1</w:t>
            </w:r>
          </w:p>
        </w:tc>
        <w:tc>
          <w:tcPr>
            <w:tcW w:w="1384" w:type="dxa"/>
            <w:tcBorders>
              <w:top w:val="single" w:sz="12" w:space="0" w:color="auto"/>
              <w:left w:val="nil"/>
              <w:bottom w:val="nil"/>
              <w:right w:val="nil"/>
            </w:tcBorders>
            <w:tcMar>
              <w:top w:w="-1" w:type="dxa"/>
              <w:left w:w="-1" w:type="dxa"/>
              <w:bottom w:w="-1" w:type="dxa"/>
              <w:right w:w="-1" w:type="dxa"/>
            </w:tcMar>
            <w:vAlign w:val="center"/>
          </w:tcPr>
          <w:p w14:paraId="23CD5BD8" w14:textId="77777777" w:rsidR="00793432" w:rsidRDefault="00000000">
            <w:pPr>
              <w:spacing w:line="288" w:lineRule="auto"/>
              <w:ind w:firstLine="360"/>
              <w:jc w:val="center"/>
            </w:pPr>
            <w:r>
              <w:rPr>
                <w:sz w:val="18"/>
              </w:rPr>
              <w:t>Hit@3</w:t>
            </w:r>
          </w:p>
        </w:tc>
      </w:tr>
      <w:tr w:rsidR="00793432" w14:paraId="534A7930" w14:textId="77777777">
        <w:trPr>
          <w:jc w:val="center"/>
        </w:trPr>
        <w:tc>
          <w:tcPr>
            <w:tcW w:w="1854" w:type="dxa"/>
            <w:tcBorders>
              <w:top w:val="single" w:sz="4" w:space="0" w:color="auto"/>
              <w:left w:val="nil"/>
              <w:bottom w:val="nil"/>
              <w:right w:val="nil"/>
            </w:tcBorders>
            <w:tcMar>
              <w:top w:w="-1" w:type="dxa"/>
              <w:left w:w="-1" w:type="dxa"/>
              <w:bottom w:w="-1" w:type="dxa"/>
              <w:right w:w="-1" w:type="dxa"/>
            </w:tcMar>
            <w:vAlign w:val="center"/>
          </w:tcPr>
          <w:p w14:paraId="4D7DFC2A" w14:textId="77777777" w:rsidR="00793432" w:rsidRDefault="00000000">
            <w:pPr>
              <w:spacing w:line="288" w:lineRule="auto"/>
              <w:ind w:firstLine="360"/>
              <w:jc w:val="center"/>
            </w:pPr>
            <w:r>
              <w:rPr>
                <w:sz w:val="18"/>
              </w:rPr>
              <w:t>基准训练</w:t>
            </w:r>
          </w:p>
        </w:tc>
        <w:tc>
          <w:tcPr>
            <w:tcW w:w="1342" w:type="dxa"/>
            <w:tcBorders>
              <w:top w:val="single" w:sz="4" w:space="0" w:color="auto"/>
              <w:left w:val="nil"/>
              <w:bottom w:val="nil"/>
              <w:right w:val="nil"/>
            </w:tcBorders>
            <w:tcMar>
              <w:top w:w="-1" w:type="dxa"/>
              <w:left w:w="-1" w:type="dxa"/>
              <w:bottom w:w="-1" w:type="dxa"/>
              <w:right w:w="-1" w:type="dxa"/>
            </w:tcMar>
            <w:vAlign w:val="center"/>
          </w:tcPr>
          <w:p w14:paraId="753FBC55" w14:textId="77777777" w:rsidR="00793432" w:rsidRDefault="00000000">
            <w:pPr>
              <w:spacing w:line="288" w:lineRule="auto"/>
              <w:ind w:firstLine="360"/>
              <w:jc w:val="center"/>
            </w:pPr>
            <w:r>
              <w:rPr>
                <w:sz w:val="18"/>
              </w:rPr>
              <w:t>有</w:t>
            </w:r>
          </w:p>
        </w:tc>
        <w:tc>
          <w:tcPr>
            <w:tcW w:w="1737" w:type="dxa"/>
            <w:tcBorders>
              <w:top w:val="single" w:sz="4" w:space="0" w:color="auto"/>
              <w:left w:val="nil"/>
              <w:bottom w:val="nil"/>
              <w:right w:val="nil"/>
            </w:tcBorders>
            <w:tcMar>
              <w:top w:w="-1" w:type="dxa"/>
              <w:left w:w="-1" w:type="dxa"/>
              <w:bottom w:w="-1" w:type="dxa"/>
              <w:right w:w="-1" w:type="dxa"/>
            </w:tcMar>
            <w:vAlign w:val="center"/>
          </w:tcPr>
          <w:p w14:paraId="29290A5B" w14:textId="77777777" w:rsidR="00793432" w:rsidRDefault="00000000">
            <w:pPr>
              <w:spacing w:line="288" w:lineRule="auto"/>
              <w:ind w:firstLine="360"/>
              <w:jc w:val="center"/>
            </w:pPr>
            <w:r>
              <w:rPr>
                <w:sz w:val="18"/>
              </w:rPr>
              <w:t>0.7088±0.0561</w:t>
            </w:r>
          </w:p>
        </w:tc>
        <w:tc>
          <w:tcPr>
            <w:tcW w:w="1113" w:type="dxa"/>
            <w:tcBorders>
              <w:top w:val="single" w:sz="4" w:space="0" w:color="auto"/>
              <w:left w:val="nil"/>
              <w:bottom w:val="nil"/>
              <w:right w:val="nil"/>
            </w:tcBorders>
            <w:tcMar>
              <w:top w:w="-1" w:type="dxa"/>
              <w:left w:w="-1" w:type="dxa"/>
              <w:bottom w:w="-1" w:type="dxa"/>
              <w:right w:w="-1" w:type="dxa"/>
            </w:tcMar>
            <w:vAlign w:val="center"/>
          </w:tcPr>
          <w:p w14:paraId="267F1A1B" w14:textId="77777777" w:rsidR="00793432" w:rsidRDefault="00000000">
            <w:pPr>
              <w:spacing w:line="288" w:lineRule="auto"/>
              <w:ind w:firstLine="360"/>
              <w:jc w:val="center"/>
            </w:pPr>
            <w:r>
              <w:rPr>
                <w:sz w:val="18"/>
              </w:rPr>
              <w:t>0.6767</w:t>
            </w:r>
          </w:p>
        </w:tc>
        <w:tc>
          <w:tcPr>
            <w:tcW w:w="1128" w:type="dxa"/>
            <w:tcBorders>
              <w:top w:val="single" w:sz="4" w:space="0" w:color="auto"/>
              <w:left w:val="nil"/>
              <w:bottom w:val="nil"/>
              <w:right w:val="nil"/>
            </w:tcBorders>
            <w:tcMar>
              <w:top w:w="-1" w:type="dxa"/>
              <w:left w:w="-1" w:type="dxa"/>
              <w:bottom w:w="-1" w:type="dxa"/>
              <w:right w:w="-1" w:type="dxa"/>
            </w:tcMar>
            <w:vAlign w:val="center"/>
          </w:tcPr>
          <w:p w14:paraId="75193780" w14:textId="77777777" w:rsidR="00793432" w:rsidRDefault="00000000">
            <w:pPr>
              <w:spacing w:line="288" w:lineRule="auto"/>
              <w:ind w:firstLine="360"/>
              <w:jc w:val="center"/>
            </w:pPr>
            <w:r>
              <w:rPr>
                <w:sz w:val="18"/>
              </w:rPr>
              <w:t>0.6857</w:t>
            </w:r>
          </w:p>
        </w:tc>
        <w:tc>
          <w:tcPr>
            <w:tcW w:w="1128" w:type="dxa"/>
            <w:tcBorders>
              <w:top w:val="single" w:sz="4" w:space="0" w:color="auto"/>
              <w:left w:val="nil"/>
              <w:bottom w:val="nil"/>
              <w:right w:val="nil"/>
            </w:tcBorders>
            <w:tcMar>
              <w:top w:w="-1" w:type="dxa"/>
              <w:left w:w="-1" w:type="dxa"/>
              <w:bottom w:w="-1" w:type="dxa"/>
              <w:right w:w="-1" w:type="dxa"/>
            </w:tcMar>
            <w:vAlign w:val="center"/>
          </w:tcPr>
          <w:p w14:paraId="63732475" w14:textId="77777777" w:rsidR="00793432" w:rsidRDefault="00000000">
            <w:pPr>
              <w:spacing w:line="288" w:lineRule="auto"/>
              <w:ind w:firstLine="360"/>
              <w:jc w:val="center"/>
            </w:pPr>
            <w:r>
              <w:rPr>
                <w:sz w:val="18"/>
              </w:rPr>
              <w:t>0.8714</w:t>
            </w:r>
          </w:p>
        </w:tc>
      </w:tr>
      <w:tr w:rsidR="00793432" w14:paraId="18858D13" w14:textId="77777777">
        <w:trPr>
          <w:jc w:val="center"/>
        </w:trPr>
        <w:tc>
          <w:tcPr>
            <w:tcW w:w="1854" w:type="dxa"/>
            <w:tcBorders>
              <w:top w:val="nil"/>
              <w:left w:val="nil"/>
              <w:bottom w:val="nil"/>
              <w:right w:val="nil"/>
            </w:tcBorders>
            <w:tcMar>
              <w:top w:w="-1" w:type="dxa"/>
              <w:left w:w="-1" w:type="dxa"/>
              <w:bottom w:w="-1" w:type="dxa"/>
              <w:right w:w="-1" w:type="dxa"/>
            </w:tcMar>
            <w:vAlign w:val="center"/>
          </w:tcPr>
          <w:p w14:paraId="6B181AB9" w14:textId="77777777" w:rsidR="00793432" w:rsidRDefault="00000000">
            <w:pPr>
              <w:spacing w:line="288" w:lineRule="auto"/>
              <w:ind w:firstLine="360"/>
              <w:jc w:val="center"/>
            </w:pPr>
            <w:r>
              <w:rPr>
                <w:sz w:val="18"/>
              </w:rPr>
              <w:t>Dropout-</w:t>
            </w:r>
            <w:r>
              <w:rPr>
                <w:sz w:val="18"/>
              </w:rPr>
              <w:t>低学习率</w:t>
            </w:r>
          </w:p>
        </w:tc>
        <w:tc>
          <w:tcPr>
            <w:tcW w:w="1342" w:type="dxa"/>
            <w:tcBorders>
              <w:top w:val="nil"/>
              <w:left w:val="nil"/>
              <w:bottom w:val="nil"/>
              <w:right w:val="nil"/>
            </w:tcBorders>
            <w:tcMar>
              <w:top w:w="-1" w:type="dxa"/>
              <w:left w:w="-1" w:type="dxa"/>
              <w:bottom w:w="-1" w:type="dxa"/>
              <w:right w:w="-1" w:type="dxa"/>
            </w:tcMar>
            <w:vAlign w:val="center"/>
          </w:tcPr>
          <w:p w14:paraId="16C627D1" w14:textId="77777777" w:rsidR="00793432" w:rsidRDefault="00000000">
            <w:pPr>
              <w:spacing w:line="288" w:lineRule="auto"/>
              <w:ind w:firstLine="360"/>
              <w:jc w:val="center"/>
            </w:pPr>
            <w:r>
              <w:rPr>
                <w:sz w:val="18"/>
              </w:rPr>
              <w:t>有</w:t>
            </w:r>
          </w:p>
        </w:tc>
        <w:tc>
          <w:tcPr>
            <w:tcW w:w="1737" w:type="dxa"/>
            <w:tcBorders>
              <w:top w:val="nil"/>
              <w:left w:val="nil"/>
              <w:bottom w:val="nil"/>
              <w:right w:val="nil"/>
            </w:tcBorders>
            <w:tcMar>
              <w:top w:w="-1" w:type="dxa"/>
              <w:left w:w="-1" w:type="dxa"/>
              <w:bottom w:w="-1" w:type="dxa"/>
              <w:right w:w="-1" w:type="dxa"/>
            </w:tcMar>
            <w:vAlign w:val="center"/>
          </w:tcPr>
          <w:p w14:paraId="4AF23319" w14:textId="77777777" w:rsidR="00793432" w:rsidRDefault="00000000">
            <w:pPr>
              <w:spacing w:line="288" w:lineRule="auto"/>
              <w:ind w:firstLine="360"/>
              <w:jc w:val="center"/>
            </w:pPr>
            <w:r>
              <w:rPr>
                <w:sz w:val="18"/>
              </w:rPr>
              <w:t>0.6959±0.0660</w:t>
            </w:r>
          </w:p>
        </w:tc>
        <w:tc>
          <w:tcPr>
            <w:tcW w:w="1113" w:type="dxa"/>
            <w:tcBorders>
              <w:top w:val="nil"/>
              <w:left w:val="nil"/>
              <w:bottom w:val="nil"/>
              <w:right w:val="nil"/>
            </w:tcBorders>
            <w:tcMar>
              <w:top w:w="-1" w:type="dxa"/>
              <w:left w:w="-1" w:type="dxa"/>
              <w:bottom w:w="-1" w:type="dxa"/>
              <w:right w:w="-1" w:type="dxa"/>
            </w:tcMar>
            <w:vAlign w:val="center"/>
          </w:tcPr>
          <w:p w14:paraId="489F2C6F" w14:textId="77777777" w:rsidR="00793432" w:rsidRDefault="00000000">
            <w:pPr>
              <w:spacing w:line="288" w:lineRule="auto"/>
              <w:ind w:firstLine="360"/>
              <w:jc w:val="center"/>
            </w:pPr>
            <w:r>
              <w:rPr>
                <w:sz w:val="18"/>
              </w:rPr>
              <w:t>0.6818</w:t>
            </w:r>
          </w:p>
        </w:tc>
        <w:tc>
          <w:tcPr>
            <w:tcW w:w="1128" w:type="dxa"/>
            <w:tcBorders>
              <w:top w:val="nil"/>
              <w:left w:val="nil"/>
              <w:bottom w:val="nil"/>
              <w:right w:val="nil"/>
            </w:tcBorders>
            <w:tcMar>
              <w:top w:w="-1" w:type="dxa"/>
              <w:left w:w="-1" w:type="dxa"/>
              <w:bottom w:w="-1" w:type="dxa"/>
              <w:right w:w="-1" w:type="dxa"/>
            </w:tcMar>
            <w:vAlign w:val="center"/>
          </w:tcPr>
          <w:p w14:paraId="1D787CD0" w14:textId="77777777" w:rsidR="00793432" w:rsidRDefault="00000000">
            <w:pPr>
              <w:spacing w:line="288" w:lineRule="auto"/>
              <w:ind w:firstLine="360"/>
              <w:jc w:val="center"/>
            </w:pPr>
            <w:r>
              <w:rPr>
                <w:sz w:val="18"/>
              </w:rPr>
              <w:t>0.6643</w:t>
            </w:r>
          </w:p>
        </w:tc>
        <w:tc>
          <w:tcPr>
            <w:tcW w:w="1128" w:type="dxa"/>
            <w:tcBorders>
              <w:top w:val="nil"/>
              <w:left w:val="nil"/>
              <w:bottom w:val="nil"/>
              <w:right w:val="nil"/>
            </w:tcBorders>
            <w:tcMar>
              <w:top w:w="-1" w:type="dxa"/>
              <w:left w:w="-1" w:type="dxa"/>
              <w:bottom w:w="-1" w:type="dxa"/>
              <w:right w:w="-1" w:type="dxa"/>
            </w:tcMar>
            <w:vAlign w:val="center"/>
          </w:tcPr>
          <w:p w14:paraId="3258ECEA" w14:textId="77777777" w:rsidR="00793432" w:rsidRDefault="00000000">
            <w:pPr>
              <w:spacing w:line="288" w:lineRule="auto"/>
              <w:ind w:firstLine="360"/>
              <w:jc w:val="center"/>
            </w:pPr>
            <w:r>
              <w:rPr>
                <w:sz w:val="18"/>
              </w:rPr>
              <w:t>0.8786</w:t>
            </w:r>
          </w:p>
        </w:tc>
      </w:tr>
      <w:tr w:rsidR="00793432" w14:paraId="5A19E0B3" w14:textId="77777777">
        <w:trPr>
          <w:jc w:val="center"/>
        </w:trPr>
        <w:tc>
          <w:tcPr>
            <w:tcW w:w="1854" w:type="dxa"/>
            <w:tcBorders>
              <w:top w:val="nil"/>
              <w:left w:val="nil"/>
              <w:bottom w:val="single" w:sz="12" w:space="0" w:color="auto"/>
              <w:right w:val="nil"/>
            </w:tcBorders>
            <w:tcMar>
              <w:top w:w="-1" w:type="dxa"/>
              <w:left w:w="-1" w:type="dxa"/>
              <w:bottom w:w="-1" w:type="dxa"/>
              <w:right w:w="-1" w:type="dxa"/>
            </w:tcMar>
            <w:vAlign w:val="center"/>
          </w:tcPr>
          <w:p w14:paraId="5681D0FE" w14:textId="77777777" w:rsidR="00793432" w:rsidRDefault="00000000">
            <w:pPr>
              <w:spacing w:line="288" w:lineRule="auto"/>
              <w:ind w:firstLine="360"/>
              <w:jc w:val="center"/>
            </w:pPr>
            <w:r>
              <w:rPr>
                <w:sz w:val="18"/>
              </w:rPr>
              <w:t>长轮数训练</w:t>
            </w:r>
          </w:p>
        </w:tc>
        <w:tc>
          <w:tcPr>
            <w:tcW w:w="1342" w:type="dxa"/>
            <w:tcBorders>
              <w:top w:val="nil"/>
              <w:left w:val="nil"/>
              <w:bottom w:val="single" w:sz="12" w:space="0" w:color="auto"/>
              <w:right w:val="nil"/>
            </w:tcBorders>
            <w:tcMar>
              <w:top w:w="-1" w:type="dxa"/>
              <w:left w:w="-1" w:type="dxa"/>
              <w:bottom w:w="-1" w:type="dxa"/>
              <w:right w:w="-1" w:type="dxa"/>
            </w:tcMar>
            <w:vAlign w:val="center"/>
          </w:tcPr>
          <w:p w14:paraId="4D3B77DD" w14:textId="77777777" w:rsidR="00793432" w:rsidRDefault="00000000">
            <w:pPr>
              <w:spacing w:line="288" w:lineRule="auto"/>
              <w:ind w:firstLine="360"/>
              <w:jc w:val="center"/>
            </w:pPr>
            <w:r>
              <w:rPr>
                <w:sz w:val="18"/>
              </w:rPr>
              <w:t>有</w:t>
            </w:r>
          </w:p>
        </w:tc>
        <w:tc>
          <w:tcPr>
            <w:tcW w:w="1737" w:type="dxa"/>
            <w:tcBorders>
              <w:top w:val="nil"/>
              <w:left w:val="nil"/>
              <w:bottom w:val="single" w:sz="12" w:space="0" w:color="auto"/>
              <w:right w:val="nil"/>
            </w:tcBorders>
            <w:tcMar>
              <w:top w:w="-1" w:type="dxa"/>
              <w:left w:w="-1" w:type="dxa"/>
              <w:bottom w:w="-1" w:type="dxa"/>
              <w:right w:w="-1" w:type="dxa"/>
            </w:tcMar>
            <w:vAlign w:val="center"/>
          </w:tcPr>
          <w:p w14:paraId="7D724015" w14:textId="77777777" w:rsidR="00793432" w:rsidRDefault="00000000">
            <w:pPr>
              <w:spacing w:line="288" w:lineRule="auto"/>
              <w:ind w:firstLine="360"/>
              <w:jc w:val="center"/>
            </w:pPr>
            <w:r>
              <w:rPr>
                <w:sz w:val="18"/>
              </w:rPr>
              <w:t>0.7078±0.0578</w:t>
            </w:r>
          </w:p>
        </w:tc>
        <w:tc>
          <w:tcPr>
            <w:tcW w:w="1113" w:type="dxa"/>
            <w:tcBorders>
              <w:top w:val="nil"/>
              <w:left w:val="nil"/>
              <w:bottom w:val="single" w:sz="12" w:space="0" w:color="auto"/>
              <w:right w:val="nil"/>
            </w:tcBorders>
            <w:tcMar>
              <w:top w:w="-1" w:type="dxa"/>
              <w:left w:w="-1" w:type="dxa"/>
              <w:bottom w:w="-1" w:type="dxa"/>
              <w:right w:w="-1" w:type="dxa"/>
            </w:tcMar>
            <w:vAlign w:val="center"/>
          </w:tcPr>
          <w:p w14:paraId="23116DED" w14:textId="77777777" w:rsidR="00793432" w:rsidRDefault="00000000">
            <w:pPr>
              <w:spacing w:line="288" w:lineRule="auto"/>
              <w:ind w:firstLine="360"/>
              <w:jc w:val="center"/>
            </w:pPr>
            <w:r>
              <w:rPr>
                <w:sz w:val="18"/>
              </w:rPr>
              <w:t>0.6814</w:t>
            </w:r>
          </w:p>
        </w:tc>
        <w:tc>
          <w:tcPr>
            <w:tcW w:w="1128" w:type="dxa"/>
            <w:tcBorders>
              <w:top w:val="nil"/>
              <w:left w:val="nil"/>
              <w:bottom w:val="single" w:sz="12" w:space="0" w:color="auto"/>
              <w:right w:val="nil"/>
            </w:tcBorders>
            <w:tcMar>
              <w:top w:w="-1" w:type="dxa"/>
              <w:left w:w="-1" w:type="dxa"/>
              <w:bottom w:w="-1" w:type="dxa"/>
              <w:right w:w="-1" w:type="dxa"/>
            </w:tcMar>
            <w:vAlign w:val="center"/>
          </w:tcPr>
          <w:p w14:paraId="6EB2E028" w14:textId="77777777" w:rsidR="00793432" w:rsidRDefault="00000000">
            <w:pPr>
              <w:spacing w:line="288" w:lineRule="auto"/>
              <w:ind w:firstLine="360"/>
              <w:jc w:val="center"/>
            </w:pPr>
            <w:r>
              <w:rPr>
                <w:sz w:val="18"/>
              </w:rPr>
              <w:t>0.6857</w:t>
            </w:r>
          </w:p>
        </w:tc>
        <w:tc>
          <w:tcPr>
            <w:tcW w:w="1128" w:type="dxa"/>
            <w:tcBorders>
              <w:top w:val="nil"/>
              <w:left w:val="nil"/>
              <w:bottom w:val="single" w:sz="12" w:space="0" w:color="auto"/>
              <w:right w:val="nil"/>
            </w:tcBorders>
            <w:tcMar>
              <w:top w:w="-1" w:type="dxa"/>
              <w:left w:w="-1" w:type="dxa"/>
              <w:bottom w:w="-1" w:type="dxa"/>
              <w:right w:w="-1" w:type="dxa"/>
            </w:tcMar>
            <w:vAlign w:val="center"/>
          </w:tcPr>
          <w:p w14:paraId="5F4E4E2C" w14:textId="77777777" w:rsidR="00793432" w:rsidRDefault="00000000">
            <w:pPr>
              <w:spacing w:line="288" w:lineRule="auto"/>
              <w:ind w:firstLine="360"/>
              <w:jc w:val="center"/>
            </w:pPr>
            <w:r>
              <w:rPr>
                <w:sz w:val="18"/>
              </w:rPr>
              <w:t>0.8714</w:t>
            </w:r>
          </w:p>
        </w:tc>
      </w:tr>
    </w:tbl>
    <w:p w14:paraId="2DCE1064" w14:textId="77777777" w:rsidR="00793432" w:rsidRDefault="00000000">
      <w:proofErr w:type="spellStart"/>
      <w:r>
        <w:t>Chemprop</w:t>
      </w:r>
      <w:proofErr w:type="spellEnd"/>
      <w:r>
        <w:t>三种配置在</w:t>
      </w:r>
      <w:r>
        <w:t>Gaussian-138</w:t>
      </w:r>
      <w:r>
        <w:t>小样本下</w:t>
      </w:r>
      <w:r>
        <w:t>PRC</w:t>
      </w:r>
      <w:r>
        <w:t>均位于约</w:t>
      </w:r>
      <w:r>
        <w:t>0.70</w:t>
      </w:r>
      <w:r>
        <w:t>附近，差异不稳定。增加训练轮数、加入</w:t>
      </w:r>
      <w:r>
        <w:t>dropout</w:t>
      </w:r>
      <w:r>
        <w:t>与降低学习率均未带来明显提升，表明在</w:t>
      </w:r>
      <w:r>
        <w:t>138</w:t>
      </w:r>
      <w:r>
        <w:t>条小样本条件下，模型容量与训练策略并非主要瓶颈。相较继续增加</w:t>
      </w:r>
      <w:r>
        <w:t>epoch</w:t>
      </w:r>
      <w:r>
        <w:t>，引入更多有效样本或更贴近反应机理的原子描述符，是更具价值的改进方向；后续</w:t>
      </w:r>
      <w:r>
        <w:t>14</w:t>
      </w:r>
      <w:r>
        <w:t>组特征集消融正是在这一判断下展开。</w:t>
      </w:r>
    </w:p>
    <w:p w14:paraId="55578C3E" w14:textId="77777777" w:rsidR="00793432" w:rsidRDefault="00000000">
      <w:r>
        <w:t>在采用一致的模型选择口径后，</w:t>
      </w:r>
      <w:proofErr w:type="spellStart"/>
      <w:r>
        <w:t>Chemprop</w:t>
      </w:r>
      <w:proofErr w:type="spellEnd"/>
      <w:r>
        <w:t>在小样本条件下达到约</w:t>
      </w:r>
      <w:r>
        <w:t>0.70</w:t>
      </w:r>
      <w:r>
        <w:t>的</w:t>
      </w:r>
      <w:r>
        <w:t>PRC</w:t>
      </w:r>
      <w:r>
        <w:t>，说明图神经网络能够从分子结构中学习一定的反应位点信息。然而与传统机器学习模型相比，其优势尚未显现，主要可能受样本规模偏小、标签稀疏和可用量子化学特征维度有限等因素限制。</w:t>
      </w:r>
    </w:p>
    <w:p w14:paraId="1AABFE0B" w14:textId="77777777" w:rsidR="00793432" w:rsidRDefault="00000000">
      <w:pPr>
        <w:spacing w:line="400" w:lineRule="atLeast"/>
        <w:ind w:firstLineChars="0" w:firstLine="0"/>
        <w:jc w:val="center"/>
      </w:pPr>
      <w:r>
        <w:rPr>
          <w:noProof/>
        </w:rPr>
        <w:drawing>
          <wp:inline distT="0" distB="0" distL="0" distR="0" wp14:anchorId="496A785F" wp14:editId="1498BB8B">
            <wp:extent cx="5669280" cy="2801620"/>
            <wp:effectExtent l="0" t="0" r="7620" b="0"/>
            <wp:docPr id="9011" name="Picture 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 name="Picture 9011"/>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669280" cy="2802089"/>
                    </a:xfrm>
                    <a:prstGeom prst="rect">
                      <a:avLst/>
                    </a:prstGeom>
                  </pic:spPr>
                </pic:pic>
              </a:graphicData>
            </a:graphic>
          </wp:inline>
        </w:drawing>
      </w:r>
    </w:p>
    <w:p w14:paraId="7F01AC47" w14:textId="77777777" w:rsidR="00793432" w:rsidRDefault="00000000">
      <w:pPr>
        <w:pStyle w:val="a3"/>
        <w:ind w:firstLine="422"/>
      </w:pPr>
      <w:r>
        <w:rPr>
          <w:rFonts w:ascii="Times New Roman" w:hAnsi="Times New Roman"/>
        </w:rPr>
        <w:t>图</w:t>
      </w:r>
      <w:r>
        <w:rPr>
          <w:rFonts w:ascii="Times New Roman" w:hAnsi="Times New Roman"/>
        </w:rPr>
        <w:t>5-1 Gaussian-138</w:t>
      </w:r>
      <w:r>
        <w:rPr>
          <w:rFonts w:ascii="Times New Roman" w:hAnsi="Times New Roman"/>
        </w:rPr>
        <w:t>数据集不同模型</w:t>
      </w:r>
      <w:r>
        <w:rPr>
          <w:rFonts w:ascii="Times New Roman" w:hAnsi="Times New Roman"/>
        </w:rPr>
        <w:t>PRC</w:t>
      </w:r>
      <w:r>
        <w:rPr>
          <w:rFonts w:ascii="Times New Roman" w:hAnsi="Times New Roman"/>
        </w:rPr>
        <w:t>对比</w:t>
      </w:r>
    </w:p>
    <w:p w14:paraId="3F8BF143" w14:textId="77777777" w:rsidR="00793432" w:rsidRDefault="00000000">
      <w:r>
        <w:t>为避免对随机种子的过度敏感，本文在五次实验中分别记录每个种子下的</w:t>
      </w:r>
      <w:r>
        <w:t>PRC</w:t>
      </w:r>
      <w:r>
        <w:t>与</w:t>
      </w:r>
      <w:r>
        <w:t>Best F1</w:t>
      </w:r>
      <w:r>
        <w:t>。基准训练的</w:t>
      </w:r>
      <w:r>
        <w:t>PRC</w:t>
      </w:r>
      <w:r>
        <w:t>约分布在</w:t>
      </w:r>
      <w:r>
        <w:t>0.66</w:t>
      </w:r>
      <w:r>
        <w:t>至</w:t>
      </w:r>
      <w:r>
        <w:t>0.74</w:t>
      </w:r>
      <w:r>
        <w:t>之间，加入</w:t>
      </w:r>
      <w:r>
        <w:t>Dropout</w:t>
      </w:r>
      <w:r>
        <w:t>并降低学习率后波动范围扩大，延长训练轮数也未带来稳定提升。综合而言，三组</w:t>
      </w:r>
      <w:r>
        <w:lastRenderedPageBreak/>
        <w:t>训练设置在小样本下差异不具稳定优势，论文主线采用基准训练结果，并将其他设置作为辅助对照。</w:t>
      </w:r>
    </w:p>
    <w:p w14:paraId="76B35CF2" w14:textId="77777777" w:rsidR="00793432" w:rsidRDefault="00000000">
      <w:pPr>
        <w:pStyle w:val="2"/>
        <w:spacing w:line="360" w:lineRule="auto"/>
        <w:ind w:firstLine="562"/>
      </w:pPr>
      <w:bookmarkStart w:id="23" w:name="_Toc1361"/>
      <w:r>
        <w:t>5.2</w:t>
      </w:r>
      <w:r>
        <w:t>传统机器学习与</w:t>
      </w:r>
      <w:r>
        <w:t>Gaussian</w:t>
      </w:r>
      <w:r>
        <w:t>特征对比</w:t>
      </w:r>
      <w:bookmarkEnd w:id="23"/>
    </w:p>
    <w:p w14:paraId="5A01A64D" w14:textId="77777777" w:rsidR="00793432" w:rsidRDefault="00000000">
      <w:pPr>
        <w:pStyle w:val="a3"/>
        <w:ind w:firstLine="422"/>
      </w:pPr>
      <w:r>
        <w:rPr>
          <w:rFonts w:ascii="Times New Roman" w:hAnsi="Times New Roman"/>
        </w:rPr>
        <w:t>表</w:t>
      </w:r>
      <w:r>
        <w:rPr>
          <w:rFonts w:ascii="Times New Roman" w:hAnsi="Times New Roman"/>
        </w:rPr>
        <w:t>5-2 Gaussian-138</w:t>
      </w:r>
      <w:r>
        <w:rPr>
          <w:rFonts w:ascii="Times New Roman" w:hAnsi="Times New Roman"/>
        </w:rPr>
        <w:t>数据集传统机器学习模型对比</w:t>
      </w:r>
    </w:p>
    <w:tbl>
      <w:tblPr>
        <w:tblStyle w:val="aa"/>
        <w:tblW w:w="8300"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ayout w:type="fixed"/>
        <w:tblLook w:val="04A0" w:firstRow="1" w:lastRow="0" w:firstColumn="1" w:lastColumn="0" w:noHBand="0" w:noVBand="1"/>
      </w:tblPr>
      <w:tblGrid>
        <w:gridCol w:w="1500"/>
        <w:gridCol w:w="1850"/>
        <w:gridCol w:w="1400"/>
        <w:gridCol w:w="1250"/>
        <w:gridCol w:w="1150"/>
        <w:gridCol w:w="1150"/>
      </w:tblGrid>
      <w:tr w:rsidR="00793432" w14:paraId="356764F1" w14:textId="77777777">
        <w:trPr>
          <w:jc w:val="center"/>
        </w:trPr>
        <w:tc>
          <w:tcPr>
            <w:tcW w:w="1500" w:type="dxa"/>
            <w:tcBorders>
              <w:top w:val="single" w:sz="12" w:space="0" w:color="auto"/>
              <w:left w:val="nil"/>
              <w:bottom w:val="nil"/>
              <w:right w:val="nil"/>
            </w:tcBorders>
            <w:tcMar>
              <w:top w:w="-1" w:type="dxa"/>
              <w:left w:w="-1" w:type="dxa"/>
              <w:bottom w:w="-1" w:type="dxa"/>
              <w:right w:w="-1" w:type="dxa"/>
            </w:tcMar>
            <w:vAlign w:val="center"/>
          </w:tcPr>
          <w:p w14:paraId="0C55B184" w14:textId="77777777" w:rsidR="00793432" w:rsidRDefault="00000000">
            <w:pPr>
              <w:spacing w:line="288" w:lineRule="auto"/>
              <w:ind w:firstLine="361"/>
              <w:jc w:val="center"/>
            </w:pPr>
            <w:r>
              <w:rPr>
                <w:b/>
                <w:sz w:val="18"/>
                <w:szCs w:val="18"/>
              </w:rPr>
              <w:t>模型</w:t>
            </w:r>
          </w:p>
        </w:tc>
        <w:tc>
          <w:tcPr>
            <w:tcW w:w="1850" w:type="dxa"/>
            <w:tcBorders>
              <w:top w:val="single" w:sz="12" w:space="0" w:color="auto"/>
              <w:left w:val="nil"/>
              <w:bottom w:val="nil"/>
              <w:right w:val="nil"/>
            </w:tcBorders>
            <w:tcMar>
              <w:top w:w="-1" w:type="dxa"/>
              <w:left w:w="-1" w:type="dxa"/>
              <w:bottom w:w="-1" w:type="dxa"/>
              <w:right w:w="-1" w:type="dxa"/>
            </w:tcMar>
            <w:vAlign w:val="center"/>
          </w:tcPr>
          <w:p w14:paraId="4E87CAC0" w14:textId="77777777" w:rsidR="00793432" w:rsidRDefault="00000000">
            <w:pPr>
              <w:spacing w:line="288" w:lineRule="auto"/>
              <w:ind w:firstLine="361"/>
              <w:jc w:val="center"/>
            </w:pPr>
            <w:r>
              <w:rPr>
                <w:b/>
                <w:sz w:val="18"/>
                <w:szCs w:val="18"/>
              </w:rPr>
              <w:t>PRC</w:t>
            </w:r>
          </w:p>
        </w:tc>
        <w:tc>
          <w:tcPr>
            <w:tcW w:w="1400" w:type="dxa"/>
            <w:tcBorders>
              <w:top w:val="single" w:sz="12" w:space="0" w:color="auto"/>
              <w:left w:val="nil"/>
              <w:bottom w:val="nil"/>
              <w:right w:val="nil"/>
            </w:tcBorders>
            <w:tcMar>
              <w:top w:w="-1" w:type="dxa"/>
              <w:left w:w="-1" w:type="dxa"/>
              <w:bottom w:w="-1" w:type="dxa"/>
              <w:right w:w="-1" w:type="dxa"/>
            </w:tcMar>
            <w:vAlign w:val="center"/>
          </w:tcPr>
          <w:p w14:paraId="4A7A11A0" w14:textId="77777777" w:rsidR="00793432" w:rsidRDefault="00000000">
            <w:pPr>
              <w:spacing w:line="288" w:lineRule="auto"/>
              <w:ind w:firstLine="361"/>
              <w:jc w:val="center"/>
            </w:pPr>
            <w:r>
              <w:rPr>
                <w:b/>
                <w:sz w:val="18"/>
                <w:szCs w:val="18"/>
              </w:rPr>
              <w:t>ROC-AUC</w:t>
            </w:r>
          </w:p>
        </w:tc>
        <w:tc>
          <w:tcPr>
            <w:tcW w:w="1250" w:type="dxa"/>
            <w:tcBorders>
              <w:top w:val="single" w:sz="12" w:space="0" w:color="auto"/>
              <w:left w:val="nil"/>
              <w:bottom w:val="nil"/>
              <w:right w:val="nil"/>
            </w:tcBorders>
            <w:tcMar>
              <w:top w:w="-1" w:type="dxa"/>
              <w:left w:w="-1" w:type="dxa"/>
              <w:bottom w:w="-1" w:type="dxa"/>
              <w:right w:w="-1" w:type="dxa"/>
            </w:tcMar>
            <w:vAlign w:val="center"/>
          </w:tcPr>
          <w:p w14:paraId="4802F3DA" w14:textId="77777777" w:rsidR="00793432" w:rsidRDefault="00000000">
            <w:pPr>
              <w:spacing w:line="288" w:lineRule="auto"/>
              <w:ind w:firstLine="361"/>
              <w:jc w:val="center"/>
            </w:pPr>
            <w:r>
              <w:rPr>
                <w:b/>
                <w:sz w:val="18"/>
                <w:szCs w:val="18"/>
              </w:rPr>
              <w:t>Best F1</w:t>
            </w:r>
          </w:p>
        </w:tc>
        <w:tc>
          <w:tcPr>
            <w:tcW w:w="1150" w:type="dxa"/>
            <w:tcBorders>
              <w:top w:val="single" w:sz="12" w:space="0" w:color="auto"/>
              <w:left w:val="nil"/>
              <w:bottom w:val="nil"/>
              <w:right w:val="nil"/>
            </w:tcBorders>
            <w:tcMar>
              <w:top w:w="-1" w:type="dxa"/>
              <w:left w:w="-1" w:type="dxa"/>
              <w:bottom w:w="-1" w:type="dxa"/>
              <w:right w:w="-1" w:type="dxa"/>
            </w:tcMar>
            <w:vAlign w:val="center"/>
          </w:tcPr>
          <w:p w14:paraId="3451CC09" w14:textId="77777777" w:rsidR="00793432" w:rsidRDefault="00000000">
            <w:pPr>
              <w:spacing w:line="288" w:lineRule="auto"/>
              <w:ind w:firstLine="361"/>
              <w:jc w:val="center"/>
            </w:pPr>
            <w:r>
              <w:rPr>
                <w:b/>
                <w:sz w:val="18"/>
                <w:szCs w:val="18"/>
              </w:rPr>
              <w:t>Hit@1</w:t>
            </w:r>
          </w:p>
        </w:tc>
        <w:tc>
          <w:tcPr>
            <w:tcW w:w="1150" w:type="dxa"/>
            <w:tcBorders>
              <w:top w:val="single" w:sz="12" w:space="0" w:color="auto"/>
              <w:left w:val="nil"/>
              <w:bottom w:val="nil"/>
              <w:right w:val="nil"/>
            </w:tcBorders>
            <w:tcMar>
              <w:top w:w="-1" w:type="dxa"/>
              <w:left w:w="-1" w:type="dxa"/>
              <w:bottom w:w="-1" w:type="dxa"/>
              <w:right w:w="-1" w:type="dxa"/>
            </w:tcMar>
            <w:vAlign w:val="center"/>
          </w:tcPr>
          <w:p w14:paraId="410D46F1" w14:textId="77777777" w:rsidR="00793432" w:rsidRDefault="00000000">
            <w:pPr>
              <w:spacing w:line="288" w:lineRule="auto"/>
              <w:ind w:firstLine="361"/>
              <w:jc w:val="center"/>
            </w:pPr>
            <w:r>
              <w:rPr>
                <w:b/>
                <w:sz w:val="18"/>
                <w:szCs w:val="18"/>
              </w:rPr>
              <w:t>Hit@3</w:t>
            </w:r>
          </w:p>
        </w:tc>
      </w:tr>
      <w:tr w:rsidR="00793432" w14:paraId="17574D13" w14:textId="77777777">
        <w:trPr>
          <w:jc w:val="center"/>
        </w:trPr>
        <w:tc>
          <w:tcPr>
            <w:tcW w:w="1500" w:type="dxa"/>
            <w:tcBorders>
              <w:top w:val="single" w:sz="4" w:space="0" w:color="auto"/>
              <w:left w:val="nil"/>
              <w:bottom w:val="nil"/>
              <w:right w:val="nil"/>
            </w:tcBorders>
            <w:tcMar>
              <w:top w:w="-1" w:type="dxa"/>
              <w:left w:w="-1" w:type="dxa"/>
              <w:bottom w:w="-1" w:type="dxa"/>
              <w:right w:w="-1" w:type="dxa"/>
            </w:tcMar>
            <w:vAlign w:val="center"/>
          </w:tcPr>
          <w:p w14:paraId="5A983FC6" w14:textId="77777777" w:rsidR="00793432" w:rsidRDefault="00000000">
            <w:pPr>
              <w:spacing w:line="288" w:lineRule="auto"/>
              <w:ind w:firstLine="360"/>
              <w:jc w:val="center"/>
            </w:pPr>
            <w:r>
              <w:rPr>
                <w:sz w:val="18"/>
                <w:szCs w:val="18"/>
              </w:rPr>
              <w:t>Random Forest</w:t>
            </w:r>
          </w:p>
        </w:tc>
        <w:tc>
          <w:tcPr>
            <w:tcW w:w="1850" w:type="dxa"/>
            <w:tcBorders>
              <w:top w:val="single" w:sz="4" w:space="0" w:color="auto"/>
              <w:left w:val="nil"/>
              <w:bottom w:val="nil"/>
              <w:right w:val="nil"/>
            </w:tcBorders>
            <w:tcMar>
              <w:top w:w="-1" w:type="dxa"/>
              <w:left w:w="-1" w:type="dxa"/>
              <w:bottom w:w="-1" w:type="dxa"/>
              <w:right w:w="-1" w:type="dxa"/>
            </w:tcMar>
            <w:vAlign w:val="center"/>
          </w:tcPr>
          <w:p w14:paraId="1DD3810C" w14:textId="77777777" w:rsidR="00793432" w:rsidRDefault="00000000">
            <w:pPr>
              <w:spacing w:line="288" w:lineRule="auto"/>
              <w:ind w:firstLine="360"/>
              <w:jc w:val="center"/>
            </w:pPr>
            <w:r>
              <w:rPr>
                <w:sz w:val="18"/>
                <w:szCs w:val="18"/>
              </w:rPr>
              <w:t>0.8321±0.0461</w:t>
            </w:r>
          </w:p>
        </w:tc>
        <w:tc>
          <w:tcPr>
            <w:tcW w:w="1400" w:type="dxa"/>
            <w:tcBorders>
              <w:top w:val="single" w:sz="4" w:space="0" w:color="auto"/>
              <w:left w:val="nil"/>
              <w:bottom w:val="nil"/>
              <w:right w:val="nil"/>
            </w:tcBorders>
            <w:tcMar>
              <w:top w:w="-1" w:type="dxa"/>
              <w:left w:w="-1" w:type="dxa"/>
              <w:bottom w:w="-1" w:type="dxa"/>
              <w:right w:w="-1" w:type="dxa"/>
            </w:tcMar>
            <w:vAlign w:val="center"/>
          </w:tcPr>
          <w:p w14:paraId="560A7556" w14:textId="77777777" w:rsidR="00793432" w:rsidRDefault="00000000">
            <w:pPr>
              <w:spacing w:line="288" w:lineRule="auto"/>
              <w:ind w:firstLine="360"/>
              <w:jc w:val="center"/>
            </w:pPr>
            <w:r>
              <w:rPr>
                <w:sz w:val="18"/>
                <w:szCs w:val="18"/>
              </w:rPr>
              <w:t>0.9567</w:t>
            </w:r>
          </w:p>
        </w:tc>
        <w:tc>
          <w:tcPr>
            <w:tcW w:w="1250" w:type="dxa"/>
            <w:tcBorders>
              <w:top w:val="single" w:sz="4" w:space="0" w:color="auto"/>
              <w:left w:val="nil"/>
              <w:bottom w:val="nil"/>
              <w:right w:val="nil"/>
            </w:tcBorders>
            <w:tcMar>
              <w:top w:w="-1" w:type="dxa"/>
              <w:left w:w="-1" w:type="dxa"/>
              <w:bottom w:w="-1" w:type="dxa"/>
              <w:right w:w="-1" w:type="dxa"/>
            </w:tcMar>
            <w:vAlign w:val="center"/>
          </w:tcPr>
          <w:p w14:paraId="6A44451F" w14:textId="77777777" w:rsidR="00793432" w:rsidRDefault="00000000">
            <w:pPr>
              <w:spacing w:line="288" w:lineRule="auto"/>
              <w:ind w:firstLine="360"/>
              <w:jc w:val="center"/>
            </w:pPr>
            <w:r>
              <w:rPr>
                <w:sz w:val="18"/>
                <w:szCs w:val="18"/>
              </w:rPr>
              <w:t>0.8043</w:t>
            </w:r>
          </w:p>
        </w:tc>
        <w:tc>
          <w:tcPr>
            <w:tcW w:w="1150" w:type="dxa"/>
            <w:tcBorders>
              <w:top w:val="single" w:sz="4" w:space="0" w:color="auto"/>
              <w:left w:val="nil"/>
              <w:bottom w:val="nil"/>
              <w:right w:val="nil"/>
            </w:tcBorders>
            <w:tcMar>
              <w:top w:w="-1" w:type="dxa"/>
              <w:left w:w="-1" w:type="dxa"/>
              <w:bottom w:w="-1" w:type="dxa"/>
              <w:right w:w="-1" w:type="dxa"/>
            </w:tcMar>
            <w:vAlign w:val="center"/>
          </w:tcPr>
          <w:p w14:paraId="581CB125" w14:textId="77777777" w:rsidR="00793432" w:rsidRDefault="00000000">
            <w:pPr>
              <w:spacing w:line="288" w:lineRule="auto"/>
              <w:ind w:firstLine="360"/>
              <w:jc w:val="center"/>
            </w:pPr>
            <w:r>
              <w:rPr>
                <w:sz w:val="18"/>
                <w:szCs w:val="18"/>
              </w:rPr>
              <w:t>0.9000</w:t>
            </w:r>
          </w:p>
        </w:tc>
        <w:tc>
          <w:tcPr>
            <w:tcW w:w="1150" w:type="dxa"/>
            <w:tcBorders>
              <w:top w:val="single" w:sz="4" w:space="0" w:color="auto"/>
              <w:left w:val="nil"/>
              <w:bottom w:val="nil"/>
              <w:right w:val="nil"/>
            </w:tcBorders>
            <w:tcMar>
              <w:top w:w="-1" w:type="dxa"/>
              <w:left w:w="-1" w:type="dxa"/>
              <w:bottom w:w="-1" w:type="dxa"/>
              <w:right w:w="-1" w:type="dxa"/>
            </w:tcMar>
            <w:vAlign w:val="center"/>
          </w:tcPr>
          <w:p w14:paraId="5FC4AE15" w14:textId="77777777" w:rsidR="00793432" w:rsidRDefault="00000000">
            <w:pPr>
              <w:spacing w:line="288" w:lineRule="auto"/>
              <w:ind w:firstLine="360"/>
              <w:jc w:val="center"/>
            </w:pPr>
            <w:r>
              <w:rPr>
                <w:sz w:val="18"/>
                <w:szCs w:val="18"/>
              </w:rPr>
              <w:t>0.9357</w:t>
            </w:r>
          </w:p>
        </w:tc>
      </w:tr>
      <w:tr w:rsidR="00793432" w14:paraId="012DAF3C" w14:textId="77777777">
        <w:trPr>
          <w:jc w:val="center"/>
        </w:trPr>
        <w:tc>
          <w:tcPr>
            <w:tcW w:w="1500" w:type="dxa"/>
            <w:tcBorders>
              <w:top w:val="nil"/>
              <w:left w:val="nil"/>
              <w:bottom w:val="nil"/>
              <w:right w:val="nil"/>
            </w:tcBorders>
            <w:tcMar>
              <w:top w:w="-1" w:type="dxa"/>
              <w:left w:w="-1" w:type="dxa"/>
              <w:bottom w:w="-1" w:type="dxa"/>
              <w:right w:w="-1" w:type="dxa"/>
            </w:tcMar>
            <w:vAlign w:val="center"/>
          </w:tcPr>
          <w:p w14:paraId="0B348588" w14:textId="77777777" w:rsidR="00793432" w:rsidRDefault="00000000">
            <w:pPr>
              <w:spacing w:line="288" w:lineRule="auto"/>
              <w:ind w:firstLine="360"/>
              <w:jc w:val="center"/>
            </w:pPr>
            <w:r>
              <w:rPr>
                <w:sz w:val="18"/>
                <w:szCs w:val="18"/>
              </w:rPr>
              <w:t>Extra Trees</w:t>
            </w:r>
          </w:p>
        </w:tc>
        <w:tc>
          <w:tcPr>
            <w:tcW w:w="1850" w:type="dxa"/>
            <w:tcBorders>
              <w:top w:val="nil"/>
              <w:left w:val="nil"/>
              <w:bottom w:val="nil"/>
              <w:right w:val="nil"/>
            </w:tcBorders>
            <w:tcMar>
              <w:top w:w="-1" w:type="dxa"/>
              <w:left w:w="-1" w:type="dxa"/>
              <w:bottom w:w="-1" w:type="dxa"/>
              <w:right w:w="-1" w:type="dxa"/>
            </w:tcMar>
            <w:vAlign w:val="center"/>
          </w:tcPr>
          <w:p w14:paraId="78F36BA6" w14:textId="77777777" w:rsidR="00793432" w:rsidRDefault="00000000">
            <w:pPr>
              <w:spacing w:line="288" w:lineRule="auto"/>
              <w:ind w:firstLine="360"/>
              <w:jc w:val="center"/>
            </w:pPr>
            <w:r>
              <w:rPr>
                <w:sz w:val="18"/>
                <w:szCs w:val="18"/>
              </w:rPr>
              <w:t>0.8167±0.0255</w:t>
            </w:r>
          </w:p>
        </w:tc>
        <w:tc>
          <w:tcPr>
            <w:tcW w:w="1400" w:type="dxa"/>
            <w:tcBorders>
              <w:top w:val="nil"/>
              <w:left w:val="nil"/>
              <w:bottom w:val="nil"/>
              <w:right w:val="nil"/>
            </w:tcBorders>
            <w:tcMar>
              <w:top w:w="-1" w:type="dxa"/>
              <w:left w:w="-1" w:type="dxa"/>
              <w:bottom w:w="-1" w:type="dxa"/>
              <w:right w:w="-1" w:type="dxa"/>
            </w:tcMar>
            <w:vAlign w:val="center"/>
          </w:tcPr>
          <w:p w14:paraId="2D75B6D1" w14:textId="77777777" w:rsidR="00793432" w:rsidRDefault="00000000">
            <w:pPr>
              <w:spacing w:line="288" w:lineRule="auto"/>
              <w:ind w:firstLine="360"/>
              <w:jc w:val="center"/>
            </w:pPr>
            <w:r>
              <w:rPr>
                <w:sz w:val="18"/>
                <w:szCs w:val="18"/>
              </w:rPr>
              <w:t>0.9568</w:t>
            </w:r>
          </w:p>
        </w:tc>
        <w:tc>
          <w:tcPr>
            <w:tcW w:w="1250" w:type="dxa"/>
            <w:tcBorders>
              <w:top w:val="nil"/>
              <w:left w:val="nil"/>
              <w:bottom w:val="nil"/>
              <w:right w:val="nil"/>
            </w:tcBorders>
            <w:tcMar>
              <w:top w:w="-1" w:type="dxa"/>
              <w:left w:w="-1" w:type="dxa"/>
              <w:bottom w:w="-1" w:type="dxa"/>
              <w:right w:w="-1" w:type="dxa"/>
            </w:tcMar>
            <w:vAlign w:val="center"/>
          </w:tcPr>
          <w:p w14:paraId="17F33EFA" w14:textId="77777777" w:rsidR="00793432" w:rsidRDefault="00000000">
            <w:pPr>
              <w:spacing w:line="288" w:lineRule="auto"/>
              <w:ind w:firstLine="360"/>
              <w:jc w:val="center"/>
            </w:pPr>
            <w:r>
              <w:rPr>
                <w:sz w:val="18"/>
                <w:szCs w:val="18"/>
              </w:rPr>
              <w:t>0.7970</w:t>
            </w:r>
          </w:p>
        </w:tc>
        <w:tc>
          <w:tcPr>
            <w:tcW w:w="1150" w:type="dxa"/>
            <w:tcBorders>
              <w:top w:val="nil"/>
              <w:left w:val="nil"/>
              <w:bottom w:val="nil"/>
              <w:right w:val="nil"/>
            </w:tcBorders>
            <w:tcMar>
              <w:top w:w="-1" w:type="dxa"/>
              <w:left w:w="-1" w:type="dxa"/>
              <w:bottom w:w="-1" w:type="dxa"/>
              <w:right w:w="-1" w:type="dxa"/>
            </w:tcMar>
            <w:vAlign w:val="center"/>
          </w:tcPr>
          <w:p w14:paraId="69C3C87F" w14:textId="77777777" w:rsidR="00793432" w:rsidRDefault="00000000">
            <w:pPr>
              <w:spacing w:line="288" w:lineRule="auto"/>
              <w:ind w:firstLine="360"/>
              <w:jc w:val="center"/>
            </w:pPr>
            <w:r>
              <w:rPr>
                <w:sz w:val="18"/>
                <w:szCs w:val="18"/>
              </w:rPr>
              <w:t>0.8071</w:t>
            </w:r>
          </w:p>
        </w:tc>
        <w:tc>
          <w:tcPr>
            <w:tcW w:w="1150" w:type="dxa"/>
            <w:tcBorders>
              <w:top w:val="nil"/>
              <w:left w:val="nil"/>
              <w:bottom w:val="nil"/>
              <w:right w:val="nil"/>
            </w:tcBorders>
            <w:tcMar>
              <w:top w:w="-1" w:type="dxa"/>
              <w:left w:w="-1" w:type="dxa"/>
              <w:bottom w:w="-1" w:type="dxa"/>
              <w:right w:w="-1" w:type="dxa"/>
            </w:tcMar>
            <w:vAlign w:val="center"/>
          </w:tcPr>
          <w:p w14:paraId="16EF9B83" w14:textId="77777777" w:rsidR="00793432" w:rsidRDefault="00000000">
            <w:pPr>
              <w:spacing w:line="288" w:lineRule="auto"/>
              <w:ind w:firstLine="360"/>
              <w:jc w:val="center"/>
            </w:pPr>
            <w:r>
              <w:rPr>
                <w:sz w:val="18"/>
                <w:szCs w:val="18"/>
              </w:rPr>
              <w:t>0.9643</w:t>
            </w:r>
          </w:p>
        </w:tc>
      </w:tr>
      <w:tr w:rsidR="00793432" w14:paraId="5E59888F" w14:textId="77777777">
        <w:trPr>
          <w:jc w:val="center"/>
        </w:trPr>
        <w:tc>
          <w:tcPr>
            <w:tcW w:w="1500" w:type="dxa"/>
            <w:tcBorders>
              <w:top w:val="nil"/>
              <w:left w:val="nil"/>
              <w:bottom w:val="nil"/>
              <w:right w:val="nil"/>
            </w:tcBorders>
            <w:tcMar>
              <w:top w:w="-1" w:type="dxa"/>
              <w:left w:w="-1" w:type="dxa"/>
              <w:bottom w:w="-1" w:type="dxa"/>
              <w:right w:w="-1" w:type="dxa"/>
            </w:tcMar>
            <w:vAlign w:val="center"/>
          </w:tcPr>
          <w:p w14:paraId="50A83E94" w14:textId="77777777" w:rsidR="00793432" w:rsidRDefault="00000000">
            <w:pPr>
              <w:spacing w:line="288" w:lineRule="auto"/>
              <w:ind w:firstLine="360"/>
              <w:jc w:val="center"/>
            </w:pPr>
            <w:r>
              <w:rPr>
                <w:sz w:val="18"/>
                <w:szCs w:val="18"/>
              </w:rPr>
              <w:t>Gradient Boosting</w:t>
            </w:r>
          </w:p>
        </w:tc>
        <w:tc>
          <w:tcPr>
            <w:tcW w:w="1850" w:type="dxa"/>
            <w:tcBorders>
              <w:top w:val="nil"/>
              <w:left w:val="nil"/>
              <w:bottom w:val="nil"/>
              <w:right w:val="nil"/>
            </w:tcBorders>
            <w:tcMar>
              <w:top w:w="-1" w:type="dxa"/>
              <w:left w:w="-1" w:type="dxa"/>
              <w:bottom w:w="-1" w:type="dxa"/>
              <w:right w:w="-1" w:type="dxa"/>
            </w:tcMar>
            <w:vAlign w:val="center"/>
          </w:tcPr>
          <w:p w14:paraId="61758CEE" w14:textId="77777777" w:rsidR="00793432" w:rsidRDefault="00000000">
            <w:pPr>
              <w:spacing w:line="288" w:lineRule="auto"/>
              <w:ind w:firstLine="360"/>
              <w:jc w:val="center"/>
            </w:pPr>
            <w:r>
              <w:rPr>
                <w:sz w:val="18"/>
                <w:szCs w:val="18"/>
              </w:rPr>
              <w:t>0.7918±0.0466</w:t>
            </w:r>
          </w:p>
        </w:tc>
        <w:tc>
          <w:tcPr>
            <w:tcW w:w="1400" w:type="dxa"/>
            <w:tcBorders>
              <w:top w:val="nil"/>
              <w:left w:val="nil"/>
              <w:bottom w:val="nil"/>
              <w:right w:val="nil"/>
            </w:tcBorders>
            <w:tcMar>
              <w:top w:w="-1" w:type="dxa"/>
              <w:left w:w="-1" w:type="dxa"/>
              <w:bottom w:w="-1" w:type="dxa"/>
              <w:right w:w="-1" w:type="dxa"/>
            </w:tcMar>
            <w:vAlign w:val="center"/>
          </w:tcPr>
          <w:p w14:paraId="75AC719B" w14:textId="77777777" w:rsidR="00793432" w:rsidRDefault="00000000">
            <w:pPr>
              <w:spacing w:line="288" w:lineRule="auto"/>
              <w:ind w:firstLine="360"/>
              <w:jc w:val="center"/>
            </w:pPr>
            <w:r>
              <w:rPr>
                <w:sz w:val="18"/>
                <w:szCs w:val="18"/>
              </w:rPr>
              <w:t>0.9457</w:t>
            </w:r>
          </w:p>
        </w:tc>
        <w:tc>
          <w:tcPr>
            <w:tcW w:w="1250" w:type="dxa"/>
            <w:tcBorders>
              <w:top w:val="nil"/>
              <w:left w:val="nil"/>
              <w:bottom w:val="nil"/>
              <w:right w:val="nil"/>
            </w:tcBorders>
            <w:tcMar>
              <w:top w:w="-1" w:type="dxa"/>
              <w:left w:w="-1" w:type="dxa"/>
              <w:bottom w:w="-1" w:type="dxa"/>
              <w:right w:w="-1" w:type="dxa"/>
            </w:tcMar>
            <w:vAlign w:val="center"/>
          </w:tcPr>
          <w:p w14:paraId="738F3DC4" w14:textId="77777777" w:rsidR="00793432" w:rsidRDefault="00000000">
            <w:pPr>
              <w:spacing w:line="288" w:lineRule="auto"/>
              <w:ind w:firstLine="360"/>
              <w:jc w:val="center"/>
            </w:pPr>
            <w:r>
              <w:rPr>
                <w:sz w:val="18"/>
                <w:szCs w:val="18"/>
              </w:rPr>
              <w:t>0.7520</w:t>
            </w:r>
          </w:p>
        </w:tc>
        <w:tc>
          <w:tcPr>
            <w:tcW w:w="1150" w:type="dxa"/>
            <w:tcBorders>
              <w:top w:val="nil"/>
              <w:left w:val="nil"/>
              <w:bottom w:val="nil"/>
              <w:right w:val="nil"/>
            </w:tcBorders>
            <w:tcMar>
              <w:top w:w="-1" w:type="dxa"/>
              <w:left w:w="-1" w:type="dxa"/>
              <w:bottom w:w="-1" w:type="dxa"/>
              <w:right w:w="-1" w:type="dxa"/>
            </w:tcMar>
            <w:vAlign w:val="center"/>
          </w:tcPr>
          <w:p w14:paraId="59418F26" w14:textId="77777777" w:rsidR="00793432" w:rsidRDefault="00000000">
            <w:pPr>
              <w:spacing w:line="288" w:lineRule="auto"/>
              <w:ind w:firstLine="360"/>
              <w:jc w:val="center"/>
            </w:pPr>
            <w:r>
              <w:rPr>
                <w:sz w:val="18"/>
                <w:szCs w:val="18"/>
              </w:rPr>
              <w:t>0.8929</w:t>
            </w:r>
          </w:p>
        </w:tc>
        <w:tc>
          <w:tcPr>
            <w:tcW w:w="1150" w:type="dxa"/>
            <w:tcBorders>
              <w:top w:val="nil"/>
              <w:left w:val="nil"/>
              <w:bottom w:val="nil"/>
              <w:right w:val="nil"/>
            </w:tcBorders>
            <w:tcMar>
              <w:top w:w="-1" w:type="dxa"/>
              <w:left w:w="-1" w:type="dxa"/>
              <w:bottom w:w="-1" w:type="dxa"/>
              <w:right w:w="-1" w:type="dxa"/>
            </w:tcMar>
            <w:vAlign w:val="center"/>
          </w:tcPr>
          <w:p w14:paraId="431D83E4" w14:textId="77777777" w:rsidR="00793432" w:rsidRDefault="00000000">
            <w:pPr>
              <w:spacing w:line="288" w:lineRule="auto"/>
              <w:ind w:firstLine="360"/>
              <w:jc w:val="center"/>
            </w:pPr>
            <w:r>
              <w:rPr>
                <w:sz w:val="18"/>
                <w:szCs w:val="18"/>
              </w:rPr>
              <w:t>0.9357</w:t>
            </w:r>
          </w:p>
        </w:tc>
      </w:tr>
      <w:tr w:rsidR="00793432" w14:paraId="323957EA" w14:textId="77777777">
        <w:trPr>
          <w:jc w:val="center"/>
        </w:trPr>
        <w:tc>
          <w:tcPr>
            <w:tcW w:w="1500" w:type="dxa"/>
            <w:tcBorders>
              <w:top w:val="nil"/>
              <w:left w:val="nil"/>
              <w:bottom w:val="nil"/>
              <w:right w:val="nil"/>
            </w:tcBorders>
            <w:tcMar>
              <w:top w:w="-1" w:type="dxa"/>
              <w:left w:w="-1" w:type="dxa"/>
              <w:bottom w:w="-1" w:type="dxa"/>
              <w:right w:w="-1" w:type="dxa"/>
            </w:tcMar>
            <w:vAlign w:val="center"/>
          </w:tcPr>
          <w:p w14:paraId="2BD8C1C6" w14:textId="77777777" w:rsidR="00793432" w:rsidRDefault="00000000">
            <w:pPr>
              <w:spacing w:line="288" w:lineRule="auto"/>
              <w:ind w:firstLine="360"/>
              <w:jc w:val="center"/>
            </w:pPr>
            <w:r>
              <w:rPr>
                <w:sz w:val="18"/>
                <w:szCs w:val="18"/>
              </w:rPr>
              <w:t>RBF-SVM</w:t>
            </w:r>
          </w:p>
        </w:tc>
        <w:tc>
          <w:tcPr>
            <w:tcW w:w="1850" w:type="dxa"/>
            <w:tcBorders>
              <w:top w:val="nil"/>
              <w:left w:val="nil"/>
              <w:bottom w:val="nil"/>
              <w:right w:val="nil"/>
            </w:tcBorders>
            <w:tcMar>
              <w:top w:w="-1" w:type="dxa"/>
              <w:left w:w="-1" w:type="dxa"/>
              <w:bottom w:w="-1" w:type="dxa"/>
              <w:right w:w="-1" w:type="dxa"/>
            </w:tcMar>
            <w:vAlign w:val="center"/>
          </w:tcPr>
          <w:p w14:paraId="358E8B04" w14:textId="77777777" w:rsidR="00793432" w:rsidRDefault="00000000">
            <w:pPr>
              <w:spacing w:line="288" w:lineRule="auto"/>
              <w:ind w:firstLine="360"/>
              <w:jc w:val="center"/>
            </w:pPr>
            <w:r>
              <w:rPr>
                <w:sz w:val="18"/>
                <w:szCs w:val="18"/>
              </w:rPr>
              <w:t>0.6477±0.0641</w:t>
            </w:r>
          </w:p>
        </w:tc>
        <w:tc>
          <w:tcPr>
            <w:tcW w:w="1400" w:type="dxa"/>
            <w:tcBorders>
              <w:top w:val="nil"/>
              <w:left w:val="nil"/>
              <w:bottom w:val="nil"/>
              <w:right w:val="nil"/>
            </w:tcBorders>
            <w:tcMar>
              <w:top w:w="-1" w:type="dxa"/>
              <w:left w:w="-1" w:type="dxa"/>
              <w:bottom w:w="-1" w:type="dxa"/>
              <w:right w:w="-1" w:type="dxa"/>
            </w:tcMar>
            <w:vAlign w:val="center"/>
          </w:tcPr>
          <w:p w14:paraId="3877FA3C" w14:textId="77777777" w:rsidR="00793432" w:rsidRDefault="00000000">
            <w:pPr>
              <w:spacing w:line="288" w:lineRule="auto"/>
              <w:ind w:firstLine="360"/>
              <w:jc w:val="center"/>
            </w:pPr>
            <w:r>
              <w:rPr>
                <w:sz w:val="18"/>
                <w:szCs w:val="18"/>
              </w:rPr>
              <w:t>0.9294</w:t>
            </w:r>
          </w:p>
        </w:tc>
        <w:tc>
          <w:tcPr>
            <w:tcW w:w="1250" w:type="dxa"/>
            <w:tcBorders>
              <w:top w:val="nil"/>
              <w:left w:val="nil"/>
              <w:bottom w:val="nil"/>
              <w:right w:val="nil"/>
            </w:tcBorders>
            <w:tcMar>
              <w:top w:w="-1" w:type="dxa"/>
              <w:left w:w="-1" w:type="dxa"/>
              <w:bottom w:w="-1" w:type="dxa"/>
              <w:right w:w="-1" w:type="dxa"/>
            </w:tcMar>
            <w:vAlign w:val="center"/>
          </w:tcPr>
          <w:p w14:paraId="6DC7AB35" w14:textId="77777777" w:rsidR="00793432" w:rsidRDefault="00000000">
            <w:pPr>
              <w:spacing w:line="288" w:lineRule="auto"/>
              <w:ind w:firstLine="360"/>
              <w:jc w:val="center"/>
            </w:pPr>
            <w:r>
              <w:rPr>
                <w:sz w:val="18"/>
                <w:szCs w:val="18"/>
              </w:rPr>
              <w:t>0.6685</w:t>
            </w:r>
          </w:p>
        </w:tc>
        <w:tc>
          <w:tcPr>
            <w:tcW w:w="1150" w:type="dxa"/>
            <w:tcBorders>
              <w:top w:val="nil"/>
              <w:left w:val="nil"/>
              <w:bottom w:val="nil"/>
              <w:right w:val="nil"/>
            </w:tcBorders>
            <w:tcMar>
              <w:top w:w="-1" w:type="dxa"/>
              <w:left w:w="-1" w:type="dxa"/>
              <w:bottom w:w="-1" w:type="dxa"/>
              <w:right w:w="-1" w:type="dxa"/>
            </w:tcMar>
            <w:vAlign w:val="center"/>
          </w:tcPr>
          <w:p w14:paraId="2000012C" w14:textId="77777777" w:rsidR="00793432" w:rsidRDefault="00000000">
            <w:pPr>
              <w:spacing w:line="288" w:lineRule="auto"/>
              <w:ind w:firstLine="360"/>
              <w:jc w:val="center"/>
            </w:pPr>
            <w:r>
              <w:rPr>
                <w:sz w:val="18"/>
                <w:szCs w:val="18"/>
              </w:rPr>
              <w:t>0.7500</w:t>
            </w:r>
          </w:p>
        </w:tc>
        <w:tc>
          <w:tcPr>
            <w:tcW w:w="1150" w:type="dxa"/>
            <w:tcBorders>
              <w:top w:val="nil"/>
              <w:left w:val="nil"/>
              <w:bottom w:val="nil"/>
              <w:right w:val="nil"/>
            </w:tcBorders>
            <w:tcMar>
              <w:top w:w="-1" w:type="dxa"/>
              <w:left w:w="-1" w:type="dxa"/>
              <w:bottom w:w="-1" w:type="dxa"/>
              <w:right w:w="-1" w:type="dxa"/>
            </w:tcMar>
            <w:vAlign w:val="center"/>
          </w:tcPr>
          <w:p w14:paraId="3B39C4A2" w14:textId="77777777" w:rsidR="00793432" w:rsidRDefault="00000000">
            <w:pPr>
              <w:spacing w:line="288" w:lineRule="auto"/>
              <w:ind w:firstLine="360"/>
              <w:jc w:val="center"/>
            </w:pPr>
            <w:r>
              <w:rPr>
                <w:sz w:val="18"/>
                <w:szCs w:val="18"/>
              </w:rPr>
              <w:t>0.9000</w:t>
            </w:r>
          </w:p>
        </w:tc>
      </w:tr>
      <w:tr w:rsidR="00793432" w14:paraId="76E8CA9E" w14:textId="77777777">
        <w:trPr>
          <w:jc w:val="center"/>
        </w:trPr>
        <w:tc>
          <w:tcPr>
            <w:tcW w:w="1500" w:type="dxa"/>
            <w:tcBorders>
              <w:top w:val="nil"/>
              <w:left w:val="nil"/>
              <w:bottom w:val="single" w:sz="12" w:space="0" w:color="auto"/>
              <w:right w:val="nil"/>
            </w:tcBorders>
            <w:tcMar>
              <w:top w:w="-1" w:type="dxa"/>
              <w:left w:w="-1" w:type="dxa"/>
              <w:bottom w:w="-1" w:type="dxa"/>
              <w:right w:w="-1" w:type="dxa"/>
            </w:tcMar>
            <w:vAlign w:val="center"/>
          </w:tcPr>
          <w:p w14:paraId="5CEE7669" w14:textId="77777777" w:rsidR="00793432" w:rsidRDefault="00000000">
            <w:pPr>
              <w:spacing w:line="288" w:lineRule="auto"/>
              <w:ind w:firstLine="360"/>
              <w:jc w:val="center"/>
            </w:pPr>
            <w:r>
              <w:rPr>
                <w:sz w:val="18"/>
                <w:szCs w:val="18"/>
              </w:rPr>
              <w:t>Logistic Regression</w:t>
            </w:r>
          </w:p>
        </w:tc>
        <w:tc>
          <w:tcPr>
            <w:tcW w:w="1850" w:type="dxa"/>
            <w:tcBorders>
              <w:top w:val="nil"/>
              <w:left w:val="nil"/>
              <w:bottom w:val="single" w:sz="12" w:space="0" w:color="auto"/>
              <w:right w:val="nil"/>
            </w:tcBorders>
            <w:tcMar>
              <w:top w:w="-1" w:type="dxa"/>
              <w:left w:w="-1" w:type="dxa"/>
              <w:bottom w:w="-1" w:type="dxa"/>
              <w:right w:w="-1" w:type="dxa"/>
            </w:tcMar>
            <w:vAlign w:val="center"/>
          </w:tcPr>
          <w:p w14:paraId="43418225" w14:textId="77777777" w:rsidR="00793432" w:rsidRDefault="00000000">
            <w:pPr>
              <w:spacing w:line="288" w:lineRule="auto"/>
              <w:ind w:firstLine="360"/>
              <w:jc w:val="center"/>
            </w:pPr>
            <w:r>
              <w:rPr>
                <w:sz w:val="18"/>
                <w:szCs w:val="18"/>
              </w:rPr>
              <w:t>0.3629±0.0171</w:t>
            </w:r>
          </w:p>
        </w:tc>
        <w:tc>
          <w:tcPr>
            <w:tcW w:w="1400" w:type="dxa"/>
            <w:tcBorders>
              <w:top w:val="nil"/>
              <w:left w:val="nil"/>
              <w:bottom w:val="single" w:sz="12" w:space="0" w:color="auto"/>
              <w:right w:val="nil"/>
            </w:tcBorders>
            <w:tcMar>
              <w:top w:w="-1" w:type="dxa"/>
              <w:left w:w="-1" w:type="dxa"/>
              <w:bottom w:w="-1" w:type="dxa"/>
              <w:right w:w="-1" w:type="dxa"/>
            </w:tcMar>
            <w:vAlign w:val="center"/>
          </w:tcPr>
          <w:p w14:paraId="432AA3C7" w14:textId="77777777" w:rsidR="00793432" w:rsidRDefault="00000000">
            <w:pPr>
              <w:spacing w:line="288" w:lineRule="auto"/>
              <w:ind w:firstLine="360"/>
              <w:jc w:val="center"/>
            </w:pPr>
            <w:r>
              <w:rPr>
                <w:sz w:val="18"/>
                <w:szCs w:val="18"/>
              </w:rPr>
              <w:t>0.8394</w:t>
            </w:r>
          </w:p>
        </w:tc>
        <w:tc>
          <w:tcPr>
            <w:tcW w:w="1250" w:type="dxa"/>
            <w:tcBorders>
              <w:top w:val="nil"/>
              <w:left w:val="nil"/>
              <w:bottom w:val="single" w:sz="12" w:space="0" w:color="auto"/>
              <w:right w:val="nil"/>
            </w:tcBorders>
            <w:tcMar>
              <w:top w:w="-1" w:type="dxa"/>
              <w:left w:w="-1" w:type="dxa"/>
              <w:bottom w:w="-1" w:type="dxa"/>
              <w:right w:w="-1" w:type="dxa"/>
            </w:tcMar>
            <w:vAlign w:val="center"/>
          </w:tcPr>
          <w:p w14:paraId="55D9D711" w14:textId="77777777" w:rsidR="00793432" w:rsidRDefault="00000000">
            <w:pPr>
              <w:spacing w:line="288" w:lineRule="auto"/>
              <w:ind w:firstLine="360"/>
              <w:jc w:val="center"/>
            </w:pPr>
            <w:r>
              <w:rPr>
                <w:sz w:val="18"/>
                <w:szCs w:val="18"/>
              </w:rPr>
              <w:t>0.4544</w:t>
            </w:r>
          </w:p>
        </w:tc>
        <w:tc>
          <w:tcPr>
            <w:tcW w:w="1150" w:type="dxa"/>
            <w:tcBorders>
              <w:top w:val="nil"/>
              <w:left w:val="nil"/>
              <w:bottom w:val="single" w:sz="12" w:space="0" w:color="auto"/>
              <w:right w:val="nil"/>
            </w:tcBorders>
            <w:tcMar>
              <w:top w:w="-1" w:type="dxa"/>
              <w:left w:w="-1" w:type="dxa"/>
              <w:bottom w:w="-1" w:type="dxa"/>
              <w:right w:w="-1" w:type="dxa"/>
            </w:tcMar>
            <w:vAlign w:val="center"/>
          </w:tcPr>
          <w:p w14:paraId="211C95D9" w14:textId="77777777" w:rsidR="00793432" w:rsidRDefault="00000000">
            <w:pPr>
              <w:spacing w:line="288" w:lineRule="auto"/>
              <w:ind w:firstLine="360"/>
              <w:jc w:val="center"/>
            </w:pPr>
            <w:r>
              <w:rPr>
                <w:sz w:val="18"/>
                <w:szCs w:val="18"/>
              </w:rPr>
              <w:t>0.3500</w:t>
            </w:r>
          </w:p>
        </w:tc>
        <w:tc>
          <w:tcPr>
            <w:tcW w:w="1150" w:type="dxa"/>
            <w:tcBorders>
              <w:top w:val="nil"/>
              <w:left w:val="nil"/>
              <w:bottom w:val="single" w:sz="12" w:space="0" w:color="auto"/>
              <w:right w:val="nil"/>
            </w:tcBorders>
            <w:tcMar>
              <w:top w:w="-1" w:type="dxa"/>
              <w:left w:w="-1" w:type="dxa"/>
              <w:bottom w:w="-1" w:type="dxa"/>
              <w:right w:w="-1" w:type="dxa"/>
            </w:tcMar>
            <w:vAlign w:val="center"/>
          </w:tcPr>
          <w:p w14:paraId="60AD642C" w14:textId="77777777" w:rsidR="00793432" w:rsidRDefault="00000000">
            <w:pPr>
              <w:spacing w:line="288" w:lineRule="auto"/>
              <w:ind w:firstLine="360"/>
              <w:jc w:val="center"/>
            </w:pPr>
            <w:r>
              <w:rPr>
                <w:sz w:val="18"/>
                <w:szCs w:val="18"/>
              </w:rPr>
              <w:t>0.7714</w:t>
            </w:r>
          </w:p>
        </w:tc>
      </w:tr>
    </w:tbl>
    <w:p w14:paraId="5BB1F90C" w14:textId="77777777" w:rsidR="00793432" w:rsidRDefault="00000000">
      <w:r>
        <w:t>传统机器学习结果显示，</w:t>
      </w:r>
      <w:r>
        <w:t xml:space="preserve">Random Forest </w:t>
      </w:r>
      <w:r>
        <w:t>与</w:t>
      </w:r>
      <w:r>
        <w:t xml:space="preserve"> Extra Trees </w:t>
      </w:r>
      <w:r>
        <w:t>在</w:t>
      </w:r>
      <w:r>
        <w:t xml:space="preserve"> Gaussian-138 </w:t>
      </w:r>
      <w:r>
        <w:t>小样本上表现最稳健。</w:t>
      </w:r>
      <w:r>
        <w:t xml:space="preserve">Random Forest </w:t>
      </w:r>
      <w:r>
        <w:t>在</w:t>
      </w:r>
      <w:r>
        <w:t xml:space="preserve"> raw atom Gaussian </w:t>
      </w:r>
      <w:r>
        <w:t>口径下</w:t>
      </w:r>
      <w:r>
        <w:t xml:space="preserve"> PRC </w:t>
      </w:r>
      <w:r>
        <w:t>为</w:t>
      </w:r>
      <w:r>
        <w:t xml:space="preserve"> 0.8514±0.0380</w:t>
      </w:r>
      <w:r>
        <w:t>，</w:t>
      </w:r>
      <w:r>
        <w:t xml:space="preserve">Best F1 </w:t>
      </w:r>
      <w:r>
        <w:t>为</w:t>
      </w:r>
      <w:r>
        <w:t xml:space="preserve"> 0.8137</w:t>
      </w:r>
      <w:r>
        <w:t>，</w:t>
      </w:r>
      <w:r>
        <w:t xml:space="preserve">Hit@1 </w:t>
      </w:r>
      <w:r>
        <w:t>为</w:t>
      </w:r>
      <w:r>
        <w:t xml:space="preserve"> 0.8786</w:t>
      </w:r>
      <w:r>
        <w:t>，</w:t>
      </w:r>
      <w:r>
        <w:t xml:space="preserve">Hit@3 </w:t>
      </w:r>
      <w:r>
        <w:t>为</w:t>
      </w:r>
      <w:r>
        <w:t xml:space="preserve"> 0.9643</w:t>
      </w:r>
      <w:r>
        <w:t>；在</w:t>
      </w:r>
      <w:r>
        <w:t xml:space="preserve"> Phenol SMILES + |NPA|/|Mulliken| </w:t>
      </w:r>
      <w:r>
        <w:t>口径下进一步达到</w:t>
      </w:r>
      <w:r>
        <w:t xml:space="preserve"> PRC 0.8585±0.0509</w:t>
      </w:r>
      <w:r>
        <w:t>、</w:t>
      </w:r>
      <w:r>
        <w:t>Best F1 0.8131</w:t>
      </w:r>
      <w:r>
        <w:t>、</w:t>
      </w:r>
      <w:r>
        <w:t>Hit@1 0.8929</w:t>
      </w:r>
      <w:r>
        <w:t>、</w:t>
      </w:r>
      <w:r>
        <w:t>Hit@3 0.9643</w:t>
      </w:r>
      <w:r>
        <w:t>。</w:t>
      </w:r>
      <w:r>
        <w:t xml:space="preserve">Extra Trees </w:t>
      </w:r>
      <w:r>
        <w:t>的种子方差最低（</w:t>
      </w:r>
      <w:r>
        <w:t xml:space="preserve">PRC </w:t>
      </w:r>
      <w:r>
        <w:t>标准差</w:t>
      </w:r>
      <w:r>
        <w:t xml:space="preserve"> 0.0255</w:t>
      </w:r>
      <w:r>
        <w:t>），</w:t>
      </w:r>
      <w:r>
        <w:t xml:space="preserve">Hit@3 </w:t>
      </w:r>
      <w:r>
        <w:t>同样达到</w:t>
      </w:r>
      <w:r>
        <w:t xml:space="preserve"> 0.9643</w:t>
      </w:r>
      <w:r>
        <w:t>；树模型在小样本下能够更充分利用人工构造的原子结构与电荷特征，整体优于线性与核方法。</w:t>
      </w:r>
    </w:p>
    <w:p w14:paraId="55AC1FB1" w14:textId="77777777" w:rsidR="00793432" w:rsidRDefault="00000000">
      <w:r>
        <w:t>在不含</w:t>
      </w:r>
      <w:r>
        <w:t xml:space="preserve"> Gaussian </w:t>
      </w:r>
      <w:r>
        <w:t>特征时，</w:t>
      </w:r>
      <w:r>
        <w:t xml:space="preserve">Random Forest PRC </w:t>
      </w:r>
      <w:r>
        <w:t>为</w:t>
      </w:r>
      <w:r>
        <w:t xml:space="preserve"> 0.8256</w:t>
      </w:r>
      <w:r>
        <w:t>；加入</w:t>
      </w:r>
      <w:r>
        <w:t xml:space="preserve"> raw atom Gaussian </w:t>
      </w:r>
      <w:r>
        <w:t>后，</w:t>
      </w:r>
      <w:r>
        <w:t xml:space="preserve">PRC </w:t>
      </w:r>
      <w:r>
        <w:t>提升至</w:t>
      </w:r>
      <w:r>
        <w:t xml:space="preserve"> 0.8514</w:t>
      </w:r>
      <w:r>
        <w:t>，</w:t>
      </w:r>
      <w:r>
        <w:t xml:space="preserve">Best F1 </w:t>
      </w:r>
      <w:r>
        <w:t>提升至</w:t>
      </w:r>
      <w:r>
        <w:t xml:space="preserve"> 0.8137</w:t>
      </w:r>
      <w:r>
        <w:t>。该结果说明，</w:t>
      </w:r>
      <w:r>
        <w:t xml:space="preserve">NPA </w:t>
      </w:r>
      <w:r>
        <w:t>与</w:t>
      </w:r>
      <w:r>
        <w:t xml:space="preserve"> Mulliken </w:t>
      </w:r>
      <w:r>
        <w:t>电荷确为反应位点预测提供了增量信息。然而提升幅度并不显著，表明</w:t>
      </w:r>
      <w:r>
        <w:t xml:space="preserve"> </w:t>
      </w:r>
      <w:proofErr w:type="spellStart"/>
      <w:r>
        <w:t>RDKit</w:t>
      </w:r>
      <w:proofErr w:type="spellEnd"/>
      <w:r>
        <w:t xml:space="preserve"> </w:t>
      </w:r>
      <w:r>
        <w:t>局部结构特征已经包含大量与位点选择相关的信息，</w:t>
      </w:r>
      <w:r>
        <w:t xml:space="preserve">Gaussian </w:t>
      </w:r>
      <w:r>
        <w:t>电荷更多是对局部电子分布的补充。</w:t>
      </w:r>
    </w:p>
    <w:p w14:paraId="4748BD71" w14:textId="77777777" w:rsidR="00793432" w:rsidRDefault="00000000">
      <w:r>
        <w:t>需要注意的是，包含分子级</w:t>
      </w:r>
      <w:r>
        <w:t xml:space="preserve"> HOMO/LUMO</w:t>
      </w:r>
      <w:r>
        <w:t>、</w:t>
      </w:r>
      <w:r>
        <w:t xml:space="preserve">SCF energy </w:t>
      </w:r>
      <w:r>
        <w:t>与</w:t>
      </w:r>
      <w:r>
        <w:t xml:space="preserve"> dipole </w:t>
      </w:r>
      <w:r>
        <w:t>等</w:t>
      </w:r>
      <w:r>
        <w:t xml:space="preserve"> Gaussian </w:t>
      </w:r>
      <w:r>
        <w:t>标量的传统</w:t>
      </w:r>
      <w:r>
        <w:t xml:space="preserve"> ML </w:t>
      </w:r>
      <w:r>
        <w:t>结果不能与仅使用原子级描述符的</w:t>
      </w:r>
      <w:r>
        <w:t xml:space="preserve"> </w:t>
      </w:r>
      <w:proofErr w:type="spellStart"/>
      <w:r>
        <w:t>Chemprop</w:t>
      </w:r>
      <w:proofErr w:type="spellEnd"/>
      <w:r>
        <w:t xml:space="preserve"> </w:t>
      </w:r>
      <w:r>
        <w:t>结果直接横向比较。因此本文将原子级</w:t>
      </w:r>
      <w:r>
        <w:t xml:space="preserve"> Gaussian </w:t>
      </w:r>
      <w:r>
        <w:t>口径作为公平对比主线，而把分子级</w:t>
      </w:r>
      <w:r>
        <w:t xml:space="preserve"> Gaussian </w:t>
      </w:r>
      <w:r>
        <w:t>扩展结果作为补充实验。</w:t>
      </w:r>
    </w:p>
    <w:p w14:paraId="4C98605B" w14:textId="77777777" w:rsidR="00793432" w:rsidRDefault="00793432">
      <w:pPr>
        <w:spacing w:line="400" w:lineRule="atLeast"/>
      </w:pPr>
    </w:p>
    <w:p w14:paraId="0CB567C4" w14:textId="77777777" w:rsidR="00793432" w:rsidRDefault="00000000">
      <w:pPr>
        <w:spacing w:line="400" w:lineRule="atLeast"/>
        <w:ind w:firstLineChars="0" w:firstLine="0"/>
      </w:pPr>
      <w:r>
        <w:rPr>
          <w:noProof/>
        </w:rPr>
        <w:lastRenderedPageBreak/>
        <w:drawing>
          <wp:inline distT="0" distB="0" distL="0" distR="0" wp14:anchorId="425F6D9B" wp14:editId="61FCB04B">
            <wp:extent cx="5669280" cy="2546985"/>
            <wp:effectExtent l="0" t="0" r="7620" b="5715"/>
            <wp:docPr id="9012" name="Picture 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 name="Picture 9012"/>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69280" cy="2547273"/>
                    </a:xfrm>
                    <a:prstGeom prst="rect">
                      <a:avLst/>
                    </a:prstGeom>
                  </pic:spPr>
                </pic:pic>
              </a:graphicData>
            </a:graphic>
          </wp:inline>
        </w:drawing>
      </w:r>
    </w:p>
    <w:p w14:paraId="265A827A" w14:textId="77777777" w:rsidR="00793432" w:rsidRDefault="00000000">
      <w:pPr>
        <w:pStyle w:val="a3"/>
        <w:ind w:firstLine="422"/>
        <w:rPr>
          <w:rFonts w:ascii="Times New Roman" w:hAnsi="Times New Roman"/>
        </w:rPr>
      </w:pPr>
      <w:r>
        <w:rPr>
          <w:rFonts w:ascii="Times New Roman" w:hAnsi="Times New Roman"/>
        </w:rPr>
        <w:t>图</w:t>
      </w:r>
      <w:r>
        <w:rPr>
          <w:rFonts w:ascii="Times New Roman" w:hAnsi="Times New Roman"/>
        </w:rPr>
        <w:t xml:space="preserve">5-2 </w:t>
      </w:r>
      <w:r>
        <w:rPr>
          <w:rFonts w:ascii="Times New Roman" w:hAnsi="Times New Roman"/>
        </w:rPr>
        <w:t>传统机器学习模型关键指标对比</w:t>
      </w:r>
    </w:p>
    <w:p w14:paraId="7E17297D" w14:textId="77777777" w:rsidR="00793432" w:rsidRDefault="00000000">
      <w:r>
        <w:t>在五种传统机器学习模型的横向对比中，</w:t>
      </w:r>
      <w:r>
        <w:t xml:space="preserve">Random Forest </w:t>
      </w:r>
      <w:r>
        <w:t>与</w:t>
      </w:r>
      <w:r>
        <w:t xml:space="preserve"> Extra Trees </w:t>
      </w:r>
      <w:r>
        <w:t>对随机种子的敏感度较低，</w:t>
      </w:r>
      <w:r>
        <w:t xml:space="preserve">5 </w:t>
      </w:r>
      <w:r>
        <w:t>次实验的标准差分别为</w:t>
      </w:r>
      <w:r>
        <w:t xml:space="preserve"> 0.0461 </w:t>
      </w:r>
      <w:r>
        <w:t>与</w:t>
      </w:r>
      <w:r>
        <w:t xml:space="preserve"> 0.0255</w:t>
      </w:r>
      <w:r>
        <w:t>，是当前最稳健的两种基线模型。</w:t>
      </w:r>
      <w:r>
        <w:t xml:space="preserve">Gradient Boosting </w:t>
      </w:r>
      <w:r>
        <w:t>标准差为</w:t>
      </w:r>
      <w:r>
        <w:t xml:space="preserve"> 0.0466</w:t>
      </w:r>
      <w:r>
        <w:t>，整体表现略逊于前两者。</w:t>
      </w:r>
      <w:r>
        <w:t xml:space="preserve">RBF-SVM </w:t>
      </w:r>
      <w:r>
        <w:t>与</w:t>
      </w:r>
      <w:r>
        <w:t xml:space="preserve"> Logistic Regression </w:t>
      </w:r>
      <w:r>
        <w:t>在</w:t>
      </w:r>
      <w:r>
        <w:t xml:space="preserve"> PRC </w:t>
      </w:r>
      <w:r>
        <w:t>上明显落后，前者标准差较大（</w:t>
      </w:r>
      <w:r>
        <w:t>0.0641</w:t>
      </w:r>
      <w:r>
        <w:t>），后者均值仅为</w:t>
      </w:r>
      <w:r>
        <w:t xml:space="preserve"> 0.3629</w:t>
      </w:r>
      <w:r>
        <w:t>，且</w:t>
      </w:r>
      <w:r>
        <w:t xml:space="preserve"> Best F1 </w:t>
      </w:r>
      <w:r>
        <w:t>仅</w:t>
      </w:r>
      <w:r>
        <w:t xml:space="preserve"> 0.4544</w:t>
      </w:r>
      <w:r>
        <w:t>，表明在</w:t>
      </w:r>
      <w:r>
        <w:t xml:space="preserve"> 138 </w:t>
      </w:r>
      <w:r>
        <w:t>条小样本上线性模型与单纯核方法在反应位点这一非线性问题上的拟合能力有限。论文中将</w:t>
      </w:r>
      <w:r>
        <w:t xml:space="preserve"> Logistic Regression </w:t>
      </w:r>
      <w:r>
        <w:t>列入对比表，主要用于呈现强基线与弱基线之间的差距，并非作为最终推荐模型。</w:t>
      </w:r>
    </w:p>
    <w:p w14:paraId="599FAD0D" w14:textId="77777777" w:rsidR="00793432" w:rsidRDefault="00000000">
      <w:r>
        <w:t>关于</w:t>
      </w:r>
      <w:r>
        <w:t xml:space="preserve"> Best F1 </w:t>
      </w:r>
      <w:r>
        <w:t>与</w:t>
      </w:r>
      <w:r>
        <w:t xml:space="preserve"> </w:t>
      </w:r>
      <w:proofErr w:type="spellStart"/>
      <w:r>
        <w:t>Hit@K</w:t>
      </w:r>
      <w:proofErr w:type="spellEnd"/>
      <w:r>
        <w:t xml:space="preserve"> </w:t>
      </w:r>
      <w:r>
        <w:t>的相对关系，进一步观察</w:t>
      </w:r>
      <w:r>
        <w:t xml:space="preserve"> Random Forest </w:t>
      </w:r>
      <w:r>
        <w:t>的预测结果可见，分子级</w:t>
      </w:r>
      <w:r>
        <w:t xml:space="preserve"> Hit@1 </w:t>
      </w:r>
      <w:r>
        <w:t>普遍高于原子级</w:t>
      </w:r>
      <w:r>
        <w:t xml:space="preserve"> Best F1</w:t>
      </w:r>
      <w:r>
        <w:t>。例如</w:t>
      </w:r>
      <w:r>
        <w:t xml:space="preserve"> RF Phenol + abs Gaussian </w:t>
      </w:r>
      <w:r>
        <w:t>配置下</w:t>
      </w:r>
      <w:r>
        <w:t xml:space="preserve"> Best F1 </w:t>
      </w:r>
      <w:r>
        <w:t>为</w:t>
      </w:r>
      <w:r>
        <w:t xml:space="preserve"> 0.8131</w:t>
      </w:r>
      <w:r>
        <w:t>，但</w:t>
      </w:r>
      <w:r>
        <w:t xml:space="preserve"> Hit@1 </w:t>
      </w:r>
      <w:r>
        <w:t>达到</w:t>
      </w:r>
      <w:r>
        <w:t xml:space="preserve"> 0.8929</w:t>
      </w:r>
      <w:r>
        <w:t>，</w:t>
      </w:r>
      <w:r>
        <w:t xml:space="preserve">Hit@3 </w:t>
      </w:r>
      <w:r>
        <w:t>为</w:t>
      </w:r>
      <w:r>
        <w:t xml:space="preserve"> 0.9643</w:t>
      </w:r>
      <w:r>
        <w:t>；</w:t>
      </w:r>
      <w:r>
        <w:t xml:space="preserve">Extra Trees </w:t>
      </w:r>
      <w:r>
        <w:t>的</w:t>
      </w:r>
      <w:r>
        <w:t xml:space="preserve"> Hit@3 </w:t>
      </w:r>
      <w:r>
        <w:t>同样达到</w:t>
      </w:r>
      <w:r>
        <w:t xml:space="preserve"> 0.9643</w:t>
      </w:r>
      <w:r>
        <w:t>。这表明即便阈值扫描得到的最优</w:t>
      </w:r>
      <w:r>
        <w:t xml:space="preserve"> F1 </w:t>
      </w:r>
      <w:r>
        <w:t>仍然偏中庸，模型在分子内排序意义上的能力已较为可靠，能够将真实反应位点排在前</w:t>
      </w:r>
      <w:r>
        <w:t xml:space="preserve"> 1~3 </w:t>
      </w:r>
      <w:r>
        <w:t>个候选中。该分子内排序优良、原子级阈值分类一般的现象，是反应位点预测任务中较为常见的模式。</w:t>
      </w:r>
    </w:p>
    <w:p w14:paraId="5DBEA350" w14:textId="77777777" w:rsidR="00793432" w:rsidRDefault="00793432"/>
    <w:p w14:paraId="758C1ADC" w14:textId="77777777" w:rsidR="00793432" w:rsidRDefault="00793432"/>
    <w:p w14:paraId="1AEF7238" w14:textId="77777777" w:rsidR="00793432" w:rsidRDefault="00793432"/>
    <w:p w14:paraId="6EFD9167" w14:textId="77777777" w:rsidR="00793432" w:rsidRDefault="00000000">
      <w:pPr>
        <w:pStyle w:val="2"/>
        <w:spacing w:line="360" w:lineRule="auto"/>
        <w:ind w:firstLineChars="0" w:firstLine="0"/>
      </w:pPr>
      <w:bookmarkStart w:id="24" w:name="_Toc13451"/>
      <w:r>
        <w:t>5.3</w:t>
      </w:r>
      <w:r>
        <w:t>酚类领域特征与派生电荷特征分析</w:t>
      </w:r>
      <w:bookmarkEnd w:id="24"/>
    </w:p>
    <w:p w14:paraId="10C00C10" w14:textId="77777777" w:rsidR="00793432" w:rsidRDefault="00000000">
      <w:pPr>
        <w:pStyle w:val="a3"/>
        <w:ind w:firstLine="422"/>
      </w:pPr>
      <w:r>
        <w:rPr>
          <w:rFonts w:ascii="Times New Roman" w:hAnsi="Times New Roman"/>
        </w:rPr>
        <w:t>表</w:t>
      </w:r>
      <w:r>
        <w:rPr>
          <w:rFonts w:ascii="Times New Roman" w:hAnsi="Times New Roman"/>
        </w:rPr>
        <w:t>5-3 Random Forest</w:t>
      </w:r>
      <w:r>
        <w:rPr>
          <w:rFonts w:ascii="Times New Roman" w:hAnsi="Times New Roman"/>
        </w:rPr>
        <w:t>酚类领域特征消融结果</w:t>
      </w:r>
    </w:p>
    <w:tbl>
      <w:tblPr>
        <w:tblStyle w:val="aa"/>
        <w:tblW w:w="8300"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ayout w:type="fixed"/>
        <w:tblLook w:val="04A0" w:firstRow="1" w:lastRow="0" w:firstColumn="1" w:lastColumn="0" w:noHBand="0" w:noVBand="1"/>
      </w:tblPr>
      <w:tblGrid>
        <w:gridCol w:w="3300"/>
        <w:gridCol w:w="1250"/>
        <w:gridCol w:w="1250"/>
        <w:gridCol w:w="1250"/>
        <w:gridCol w:w="1250"/>
      </w:tblGrid>
      <w:tr w:rsidR="00793432" w14:paraId="4854A773" w14:textId="77777777">
        <w:trPr>
          <w:jc w:val="center"/>
        </w:trPr>
        <w:tc>
          <w:tcPr>
            <w:tcW w:w="3300" w:type="dxa"/>
            <w:tcBorders>
              <w:top w:val="single" w:sz="12" w:space="0" w:color="auto"/>
              <w:left w:val="nil"/>
              <w:bottom w:val="nil"/>
              <w:right w:val="nil"/>
            </w:tcBorders>
            <w:tcMar>
              <w:top w:w="-1" w:type="dxa"/>
              <w:left w:w="-1" w:type="dxa"/>
              <w:bottom w:w="-1" w:type="dxa"/>
              <w:right w:w="-1" w:type="dxa"/>
            </w:tcMar>
            <w:vAlign w:val="center"/>
          </w:tcPr>
          <w:p w14:paraId="329B8E2A" w14:textId="77777777" w:rsidR="00793432" w:rsidRDefault="00000000">
            <w:pPr>
              <w:spacing w:line="288" w:lineRule="auto"/>
              <w:ind w:firstLine="360"/>
              <w:jc w:val="center"/>
            </w:pPr>
            <w:r>
              <w:rPr>
                <w:sz w:val="18"/>
              </w:rPr>
              <w:lastRenderedPageBreak/>
              <w:t>特征组合</w:t>
            </w:r>
          </w:p>
        </w:tc>
        <w:tc>
          <w:tcPr>
            <w:tcW w:w="1250" w:type="dxa"/>
            <w:tcBorders>
              <w:top w:val="single" w:sz="12" w:space="0" w:color="auto"/>
              <w:left w:val="nil"/>
              <w:bottom w:val="nil"/>
              <w:right w:val="nil"/>
            </w:tcBorders>
            <w:tcMar>
              <w:top w:w="-1" w:type="dxa"/>
              <w:left w:w="-1" w:type="dxa"/>
              <w:bottom w:w="-1" w:type="dxa"/>
              <w:right w:w="-1" w:type="dxa"/>
            </w:tcMar>
            <w:vAlign w:val="center"/>
          </w:tcPr>
          <w:p w14:paraId="14A9BE9F" w14:textId="77777777" w:rsidR="00793432" w:rsidRDefault="00000000">
            <w:pPr>
              <w:spacing w:line="288" w:lineRule="auto"/>
              <w:ind w:firstLine="360"/>
              <w:jc w:val="center"/>
            </w:pPr>
            <w:r>
              <w:rPr>
                <w:sz w:val="18"/>
              </w:rPr>
              <w:t>PRC</w:t>
            </w:r>
          </w:p>
        </w:tc>
        <w:tc>
          <w:tcPr>
            <w:tcW w:w="1250" w:type="dxa"/>
            <w:tcBorders>
              <w:top w:val="single" w:sz="12" w:space="0" w:color="auto"/>
              <w:left w:val="nil"/>
              <w:bottom w:val="nil"/>
              <w:right w:val="nil"/>
            </w:tcBorders>
            <w:tcMar>
              <w:top w:w="-1" w:type="dxa"/>
              <w:left w:w="-1" w:type="dxa"/>
              <w:bottom w:w="-1" w:type="dxa"/>
              <w:right w:w="-1" w:type="dxa"/>
            </w:tcMar>
            <w:vAlign w:val="center"/>
          </w:tcPr>
          <w:p w14:paraId="4F0299AD" w14:textId="77777777" w:rsidR="00793432" w:rsidRDefault="00000000">
            <w:pPr>
              <w:spacing w:line="288" w:lineRule="auto"/>
              <w:ind w:firstLine="360"/>
              <w:jc w:val="center"/>
            </w:pPr>
            <w:r>
              <w:rPr>
                <w:sz w:val="18"/>
              </w:rPr>
              <w:t>Best F1</w:t>
            </w:r>
          </w:p>
        </w:tc>
        <w:tc>
          <w:tcPr>
            <w:tcW w:w="1250" w:type="dxa"/>
            <w:tcBorders>
              <w:top w:val="single" w:sz="12" w:space="0" w:color="auto"/>
              <w:left w:val="nil"/>
              <w:bottom w:val="nil"/>
              <w:right w:val="nil"/>
            </w:tcBorders>
            <w:tcMar>
              <w:top w:w="-1" w:type="dxa"/>
              <w:left w:w="-1" w:type="dxa"/>
              <w:bottom w:w="-1" w:type="dxa"/>
              <w:right w:w="-1" w:type="dxa"/>
            </w:tcMar>
            <w:vAlign w:val="center"/>
          </w:tcPr>
          <w:p w14:paraId="31CE595D" w14:textId="77777777" w:rsidR="00793432" w:rsidRDefault="00000000">
            <w:pPr>
              <w:spacing w:line="288" w:lineRule="auto"/>
              <w:ind w:firstLine="360"/>
              <w:jc w:val="center"/>
            </w:pPr>
            <w:r>
              <w:rPr>
                <w:sz w:val="18"/>
              </w:rPr>
              <w:t>Hit@1</w:t>
            </w:r>
          </w:p>
        </w:tc>
        <w:tc>
          <w:tcPr>
            <w:tcW w:w="1250" w:type="dxa"/>
            <w:tcBorders>
              <w:top w:val="single" w:sz="12" w:space="0" w:color="auto"/>
              <w:left w:val="nil"/>
              <w:bottom w:val="nil"/>
              <w:right w:val="nil"/>
            </w:tcBorders>
            <w:tcMar>
              <w:top w:w="-1" w:type="dxa"/>
              <w:left w:w="-1" w:type="dxa"/>
              <w:bottom w:w="-1" w:type="dxa"/>
              <w:right w:w="-1" w:type="dxa"/>
            </w:tcMar>
            <w:vAlign w:val="center"/>
          </w:tcPr>
          <w:p w14:paraId="5447249E" w14:textId="77777777" w:rsidR="00793432" w:rsidRDefault="00000000">
            <w:pPr>
              <w:spacing w:line="288" w:lineRule="auto"/>
              <w:ind w:firstLine="360"/>
              <w:jc w:val="center"/>
            </w:pPr>
            <w:r>
              <w:rPr>
                <w:sz w:val="18"/>
              </w:rPr>
              <w:t>Hit@3</w:t>
            </w:r>
          </w:p>
        </w:tc>
      </w:tr>
      <w:tr w:rsidR="00793432" w14:paraId="1B1F1A62" w14:textId="77777777">
        <w:trPr>
          <w:jc w:val="center"/>
        </w:trPr>
        <w:tc>
          <w:tcPr>
            <w:tcW w:w="3300" w:type="dxa"/>
            <w:tcBorders>
              <w:top w:val="single" w:sz="4" w:space="0" w:color="auto"/>
              <w:left w:val="nil"/>
              <w:bottom w:val="nil"/>
              <w:right w:val="nil"/>
            </w:tcBorders>
            <w:tcMar>
              <w:top w:w="-1" w:type="dxa"/>
              <w:left w:w="-1" w:type="dxa"/>
              <w:bottom w:w="-1" w:type="dxa"/>
              <w:right w:w="-1" w:type="dxa"/>
            </w:tcMar>
            <w:vAlign w:val="center"/>
          </w:tcPr>
          <w:p w14:paraId="72A8CFC0" w14:textId="77777777" w:rsidR="00793432" w:rsidRDefault="00000000">
            <w:pPr>
              <w:spacing w:line="288" w:lineRule="auto"/>
              <w:ind w:firstLine="360"/>
              <w:jc w:val="center"/>
            </w:pPr>
            <w:r>
              <w:rPr>
                <w:sz w:val="18"/>
              </w:rPr>
              <w:t>无附加量子化学特征</w:t>
            </w:r>
          </w:p>
        </w:tc>
        <w:tc>
          <w:tcPr>
            <w:tcW w:w="1250" w:type="dxa"/>
            <w:tcBorders>
              <w:top w:val="single" w:sz="4" w:space="0" w:color="auto"/>
              <w:left w:val="nil"/>
              <w:bottom w:val="nil"/>
              <w:right w:val="nil"/>
            </w:tcBorders>
            <w:tcMar>
              <w:top w:w="-1" w:type="dxa"/>
              <w:left w:w="-1" w:type="dxa"/>
              <w:bottom w:w="-1" w:type="dxa"/>
              <w:right w:w="-1" w:type="dxa"/>
            </w:tcMar>
            <w:vAlign w:val="center"/>
          </w:tcPr>
          <w:p w14:paraId="5136E4F2" w14:textId="77777777" w:rsidR="00793432" w:rsidRDefault="00000000">
            <w:pPr>
              <w:spacing w:line="288" w:lineRule="auto"/>
              <w:ind w:firstLine="360"/>
              <w:jc w:val="center"/>
            </w:pPr>
            <w:r>
              <w:rPr>
                <w:sz w:val="18"/>
              </w:rPr>
              <w:t>0.8256</w:t>
            </w:r>
          </w:p>
        </w:tc>
        <w:tc>
          <w:tcPr>
            <w:tcW w:w="1250" w:type="dxa"/>
            <w:tcBorders>
              <w:top w:val="single" w:sz="4" w:space="0" w:color="auto"/>
              <w:left w:val="nil"/>
              <w:bottom w:val="nil"/>
              <w:right w:val="nil"/>
            </w:tcBorders>
            <w:tcMar>
              <w:top w:w="-1" w:type="dxa"/>
              <w:left w:w="-1" w:type="dxa"/>
              <w:bottom w:w="-1" w:type="dxa"/>
              <w:right w:w="-1" w:type="dxa"/>
            </w:tcMar>
            <w:vAlign w:val="center"/>
          </w:tcPr>
          <w:p w14:paraId="41F9FCD8" w14:textId="77777777" w:rsidR="00793432" w:rsidRDefault="00000000">
            <w:pPr>
              <w:spacing w:line="288" w:lineRule="auto"/>
              <w:ind w:firstLine="360"/>
              <w:jc w:val="center"/>
            </w:pPr>
            <w:r>
              <w:rPr>
                <w:sz w:val="18"/>
              </w:rPr>
              <w:t>0.7901</w:t>
            </w:r>
          </w:p>
        </w:tc>
        <w:tc>
          <w:tcPr>
            <w:tcW w:w="1250" w:type="dxa"/>
            <w:tcBorders>
              <w:top w:val="single" w:sz="4" w:space="0" w:color="auto"/>
              <w:left w:val="nil"/>
              <w:bottom w:val="nil"/>
              <w:right w:val="nil"/>
            </w:tcBorders>
            <w:tcMar>
              <w:top w:w="-1" w:type="dxa"/>
              <w:left w:w="-1" w:type="dxa"/>
              <w:bottom w:w="-1" w:type="dxa"/>
              <w:right w:w="-1" w:type="dxa"/>
            </w:tcMar>
            <w:vAlign w:val="center"/>
          </w:tcPr>
          <w:p w14:paraId="2E65B7A5" w14:textId="77777777" w:rsidR="00793432" w:rsidRDefault="00000000">
            <w:pPr>
              <w:spacing w:line="288" w:lineRule="auto"/>
              <w:ind w:firstLine="360"/>
              <w:jc w:val="center"/>
            </w:pPr>
            <w:r>
              <w:rPr>
                <w:sz w:val="18"/>
              </w:rPr>
              <w:t>0.8786</w:t>
            </w:r>
          </w:p>
        </w:tc>
        <w:tc>
          <w:tcPr>
            <w:tcW w:w="1250" w:type="dxa"/>
            <w:tcBorders>
              <w:top w:val="single" w:sz="4" w:space="0" w:color="auto"/>
              <w:left w:val="nil"/>
              <w:bottom w:val="nil"/>
              <w:right w:val="nil"/>
            </w:tcBorders>
            <w:tcMar>
              <w:top w:w="-1" w:type="dxa"/>
              <w:left w:w="-1" w:type="dxa"/>
              <w:bottom w:w="-1" w:type="dxa"/>
              <w:right w:w="-1" w:type="dxa"/>
            </w:tcMar>
            <w:vAlign w:val="center"/>
          </w:tcPr>
          <w:p w14:paraId="0F43123B" w14:textId="77777777" w:rsidR="00793432" w:rsidRDefault="00000000">
            <w:pPr>
              <w:spacing w:line="288" w:lineRule="auto"/>
              <w:ind w:firstLine="360"/>
              <w:jc w:val="center"/>
            </w:pPr>
            <w:r>
              <w:rPr>
                <w:sz w:val="18"/>
              </w:rPr>
              <w:t>0.9357</w:t>
            </w:r>
          </w:p>
        </w:tc>
      </w:tr>
      <w:tr w:rsidR="00793432" w14:paraId="34D12E47" w14:textId="77777777">
        <w:trPr>
          <w:jc w:val="center"/>
        </w:trPr>
        <w:tc>
          <w:tcPr>
            <w:tcW w:w="3300" w:type="dxa"/>
            <w:tcBorders>
              <w:top w:val="nil"/>
              <w:left w:val="nil"/>
              <w:bottom w:val="nil"/>
              <w:right w:val="nil"/>
            </w:tcBorders>
            <w:tcMar>
              <w:top w:w="-1" w:type="dxa"/>
              <w:left w:w="-1" w:type="dxa"/>
              <w:bottom w:w="-1" w:type="dxa"/>
              <w:right w:w="-1" w:type="dxa"/>
            </w:tcMar>
            <w:vAlign w:val="center"/>
          </w:tcPr>
          <w:p w14:paraId="1343D6E1" w14:textId="77777777" w:rsidR="00793432" w:rsidRDefault="00000000">
            <w:pPr>
              <w:spacing w:line="288" w:lineRule="auto"/>
              <w:ind w:firstLine="360"/>
              <w:jc w:val="center"/>
            </w:pPr>
            <w:r>
              <w:rPr>
                <w:sz w:val="18"/>
              </w:rPr>
              <w:t>原始</w:t>
            </w:r>
            <w:r>
              <w:rPr>
                <w:sz w:val="18"/>
              </w:rPr>
              <w:t>Gaussian</w:t>
            </w:r>
            <w:r>
              <w:rPr>
                <w:sz w:val="18"/>
              </w:rPr>
              <w:t>电荷</w:t>
            </w:r>
          </w:p>
        </w:tc>
        <w:tc>
          <w:tcPr>
            <w:tcW w:w="1250" w:type="dxa"/>
            <w:tcBorders>
              <w:top w:val="nil"/>
              <w:left w:val="nil"/>
              <w:bottom w:val="nil"/>
              <w:right w:val="nil"/>
            </w:tcBorders>
            <w:tcMar>
              <w:top w:w="-1" w:type="dxa"/>
              <w:left w:w="-1" w:type="dxa"/>
              <w:bottom w:w="-1" w:type="dxa"/>
              <w:right w:w="-1" w:type="dxa"/>
            </w:tcMar>
            <w:vAlign w:val="center"/>
          </w:tcPr>
          <w:p w14:paraId="2C972ED6" w14:textId="77777777" w:rsidR="00793432" w:rsidRDefault="00000000">
            <w:pPr>
              <w:spacing w:line="288" w:lineRule="auto"/>
              <w:ind w:firstLine="360"/>
              <w:jc w:val="center"/>
            </w:pPr>
            <w:r>
              <w:rPr>
                <w:sz w:val="18"/>
              </w:rPr>
              <w:t>0.8514</w:t>
            </w:r>
          </w:p>
        </w:tc>
        <w:tc>
          <w:tcPr>
            <w:tcW w:w="1250" w:type="dxa"/>
            <w:tcBorders>
              <w:top w:val="nil"/>
              <w:left w:val="nil"/>
              <w:bottom w:val="nil"/>
              <w:right w:val="nil"/>
            </w:tcBorders>
            <w:tcMar>
              <w:top w:w="-1" w:type="dxa"/>
              <w:left w:w="-1" w:type="dxa"/>
              <w:bottom w:w="-1" w:type="dxa"/>
              <w:right w:w="-1" w:type="dxa"/>
            </w:tcMar>
            <w:vAlign w:val="center"/>
          </w:tcPr>
          <w:p w14:paraId="3EEC8AF4" w14:textId="77777777" w:rsidR="00793432" w:rsidRDefault="00000000">
            <w:pPr>
              <w:spacing w:line="288" w:lineRule="auto"/>
              <w:ind w:firstLine="360"/>
              <w:jc w:val="center"/>
            </w:pPr>
            <w:r>
              <w:rPr>
                <w:sz w:val="18"/>
              </w:rPr>
              <w:t>0.8137</w:t>
            </w:r>
          </w:p>
        </w:tc>
        <w:tc>
          <w:tcPr>
            <w:tcW w:w="1250" w:type="dxa"/>
            <w:tcBorders>
              <w:top w:val="nil"/>
              <w:left w:val="nil"/>
              <w:bottom w:val="nil"/>
              <w:right w:val="nil"/>
            </w:tcBorders>
            <w:tcMar>
              <w:top w:w="-1" w:type="dxa"/>
              <w:left w:w="-1" w:type="dxa"/>
              <w:bottom w:w="-1" w:type="dxa"/>
              <w:right w:w="-1" w:type="dxa"/>
            </w:tcMar>
            <w:vAlign w:val="center"/>
          </w:tcPr>
          <w:p w14:paraId="139B89DC" w14:textId="77777777" w:rsidR="00793432" w:rsidRDefault="00000000">
            <w:pPr>
              <w:spacing w:line="288" w:lineRule="auto"/>
              <w:ind w:firstLine="360"/>
              <w:jc w:val="center"/>
            </w:pPr>
            <w:r>
              <w:rPr>
                <w:sz w:val="18"/>
              </w:rPr>
              <w:t>0.8857</w:t>
            </w:r>
          </w:p>
        </w:tc>
        <w:tc>
          <w:tcPr>
            <w:tcW w:w="1250" w:type="dxa"/>
            <w:tcBorders>
              <w:top w:val="nil"/>
              <w:left w:val="nil"/>
              <w:bottom w:val="nil"/>
              <w:right w:val="nil"/>
            </w:tcBorders>
            <w:tcMar>
              <w:top w:w="-1" w:type="dxa"/>
              <w:left w:w="-1" w:type="dxa"/>
              <w:bottom w:w="-1" w:type="dxa"/>
              <w:right w:w="-1" w:type="dxa"/>
            </w:tcMar>
            <w:vAlign w:val="center"/>
          </w:tcPr>
          <w:p w14:paraId="510480E2" w14:textId="77777777" w:rsidR="00793432" w:rsidRDefault="00000000">
            <w:pPr>
              <w:spacing w:line="288" w:lineRule="auto"/>
              <w:ind w:firstLine="360"/>
              <w:jc w:val="center"/>
            </w:pPr>
            <w:r>
              <w:rPr>
                <w:sz w:val="18"/>
              </w:rPr>
              <w:t>0.9357</w:t>
            </w:r>
          </w:p>
        </w:tc>
      </w:tr>
      <w:tr w:rsidR="00793432" w14:paraId="68757ADB" w14:textId="77777777">
        <w:trPr>
          <w:jc w:val="center"/>
        </w:trPr>
        <w:tc>
          <w:tcPr>
            <w:tcW w:w="3300" w:type="dxa"/>
            <w:tcBorders>
              <w:top w:val="nil"/>
              <w:left w:val="nil"/>
              <w:bottom w:val="nil"/>
              <w:right w:val="nil"/>
            </w:tcBorders>
            <w:tcMar>
              <w:top w:w="-1" w:type="dxa"/>
              <w:left w:w="-1" w:type="dxa"/>
              <w:bottom w:w="-1" w:type="dxa"/>
              <w:right w:w="-1" w:type="dxa"/>
            </w:tcMar>
            <w:vAlign w:val="center"/>
          </w:tcPr>
          <w:p w14:paraId="57E91AE8" w14:textId="77777777" w:rsidR="00793432" w:rsidRDefault="00000000">
            <w:pPr>
              <w:spacing w:line="288" w:lineRule="auto"/>
              <w:ind w:firstLine="360"/>
              <w:jc w:val="center"/>
            </w:pPr>
            <w:r>
              <w:rPr>
                <w:sz w:val="18"/>
              </w:rPr>
              <w:t>酚类结构特征</w:t>
            </w:r>
          </w:p>
        </w:tc>
        <w:tc>
          <w:tcPr>
            <w:tcW w:w="1250" w:type="dxa"/>
            <w:tcBorders>
              <w:top w:val="nil"/>
              <w:left w:val="nil"/>
              <w:bottom w:val="nil"/>
              <w:right w:val="nil"/>
            </w:tcBorders>
            <w:tcMar>
              <w:top w:w="-1" w:type="dxa"/>
              <w:left w:w="-1" w:type="dxa"/>
              <w:bottom w:w="-1" w:type="dxa"/>
              <w:right w:w="-1" w:type="dxa"/>
            </w:tcMar>
            <w:vAlign w:val="center"/>
          </w:tcPr>
          <w:p w14:paraId="24BA0A34" w14:textId="77777777" w:rsidR="00793432" w:rsidRDefault="00000000">
            <w:pPr>
              <w:spacing w:line="288" w:lineRule="auto"/>
              <w:ind w:firstLine="360"/>
              <w:jc w:val="center"/>
            </w:pPr>
            <w:r>
              <w:rPr>
                <w:sz w:val="18"/>
              </w:rPr>
              <w:t>0.8396</w:t>
            </w:r>
          </w:p>
        </w:tc>
        <w:tc>
          <w:tcPr>
            <w:tcW w:w="1250" w:type="dxa"/>
            <w:tcBorders>
              <w:top w:val="nil"/>
              <w:left w:val="nil"/>
              <w:bottom w:val="nil"/>
              <w:right w:val="nil"/>
            </w:tcBorders>
            <w:tcMar>
              <w:top w:w="-1" w:type="dxa"/>
              <w:left w:w="-1" w:type="dxa"/>
              <w:bottom w:w="-1" w:type="dxa"/>
              <w:right w:w="-1" w:type="dxa"/>
            </w:tcMar>
            <w:vAlign w:val="center"/>
          </w:tcPr>
          <w:p w14:paraId="10263127" w14:textId="77777777" w:rsidR="00793432" w:rsidRDefault="00000000">
            <w:pPr>
              <w:spacing w:line="288" w:lineRule="auto"/>
              <w:ind w:firstLine="360"/>
              <w:jc w:val="center"/>
            </w:pPr>
            <w:r>
              <w:rPr>
                <w:sz w:val="18"/>
              </w:rPr>
              <w:t>0.7989</w:t>
            </w:r>
          </w:p>
        </w:tc>
        <w:tc>
          <w:tcPr>
            <w:tcW w:w="1250" w:type="dxa"/>
            <w:tcBorders>
              <w:top w:val="nil"/>
              <w:left w:val="nil"/>
              <w:bottom w:val="nil"/>
              <w:right w:val="nil"/>
            </w:tcBorders>
            <w:tcMar>
              <w:top w:w="-1" w:type="dxa"/>
              <w:left w:w="-1" w:type="dxa"/>
              <w:bottom w:w="-1" w:type="dxa"/>
              <w:right w:w="-1" w:type="dxa"/>
            </w:tcMar>
            <w:vAlign w:val="center"/>
          </w:tcPr>
          <w:p w14:paraId="24386ADA" w14:textId="77777777" w:rsidR="00793432" w:rsidRDefault="00000000">
            <w:pPr>
              <w:spacing w:line="288" w:lineRule="auto"/>
              <w:ind w:firstLine="360"/>
              <w:jc w:val="center"/>
            </w:pPr>
            <w:r>
              <w:rPr>
                <w:sz w:val="18"/>
              </w:rPr>
              <w:t>0.8857</w:t>
            </w:r>
          </w:p>
        </w:tc>
        <w:tc>
          <w:tcPr>
            <w:tcW w:w="1250" w:type="dxa"/>
            <w:tcBorders>
              <w:top w:val="nil"/>
              <w:left w:val="nil"/>
              <w:bottom w:val="nil"/>
              <w:right w:val="nil"/>
            </w:tcBorders>
            <w:tcMar>
              <w:top w:w="-1" w:type="dxa"/>
              <w:left w:w="-1" w:type="dxa"/>
              <w:bottom w:w="-1" w:type="dxa"/>
              <w:right w:w="-1" w:type="dxa"/>
            </w:tcMar>
            <w:vAlign w:val="center"/>
          </w:tcPr>
          <w:p w14:paraId="23680430" w14:textId="77777777" w:rsidR="00793432" w:rsidRDefault="00000000">
            <w:pPr>
              <w:spacing w:line="288" w:lineRule="auto"/>
              <w:ind w:firstLine="360"/>
              <w:jc w:val="center"/>
            </w:pPr>
            <w:r>
              <w:rPr>
                <w:sz w:val="18"/>
              </w:rPr>
              <w:t>0.9357</w:t>
            </w:r>
          </w:p>
        </w:tc>
      </w:tr>
      <w:tr w:rsidR="00793432" w14:paraId="33697D79" w14:textId="77777777">
        <w:trPr>
          <w:jc w:val="center"/>
        </w:trPr>
        <w:tc>
          <w:tcPr>
            <w:tcW w:w="3300" w:type="dxa"/>
            <w:tcBorders>
              <w:top w:val="nil"/>
              <w:left w:val="nil"/>
              <w:bottom w:val="nil"/>
              <w:right w:val="nil"/>
            </w:tcBorders>
            <w:tcMar>
              <w:top w:w="-1" w:type="dxa"/>
              <w:left w:w="-1" w:type="dxa"/>
              <w:bottom w:w="-1" w:type="dxa"/>
              <w:right w:w="-1" w:type="dxa"/>
            </w:tcMar>
            <w:vAlign w:val="center"/>
          </w:tcPr>
          <w:p w14:paraId="7DF70017" w14:textId="77777777" w:rsidR="00793432" w:rsidRDefault="00000000">
            <w:pPr>
              <w:spacing w:line="288" w:lineRule="auto"/>
              <w:ind w:firstLine="360"/>
              <w:jc w:val="center"/>
            </w:pPr>
            <w:r>
              <w:rPr>
                <w:sz w:val="18"/>
              </w:rPr>
              <w:t>酚类结构</w:t>
            </w:r>
            <w:r>
              <w:rPr>
                <w:sz w:val="18"/>
              </w:rPr>
              <w:t>+</w:t>
            </w:r>
            <w:r>
              <w:rPr>
                <w:sz w:val="18"/>
              </w:rPr>
              <w:t>绝对电荷</w:t>
            </w:r>
          </w:p>
        </w:tc>
        <w:tc>
          <w:tcPr>
            <w:tcW w:w="1250" w:type="dxa"/>
            <w:tcBorders>
              <w:top w:val="nil"/>
              <w:left w:val="nil"/>
              <w:bottom w:val="nil"/>
              <w:right w:val="nil"/>
            </w:tcBorders>
            <w:tcMar>
              <w:top w:w="-1" w:type="dxa"/>
              <w:left w:w="-1" w:type="dxa"/>
              <w:bottom w:w="-1" w:type="dxa"/>
              <w:right w:w="-1" w:type="dxa"/>
            </w:tcMar>
            <w:vAlign w:val="center"/>
          </w:tcPr>
          <w:p w14:paraId="07CB7F13" w14:textId="77777777" w:rsidR="00793432" w:rsidRDefault="00000000">
            <w:pPr>
              <w:spacing w:line="288" w:lineRule="auto"/>
              <w:ind w:firstLine="360"/>
              <w:jc w:val="center"/>
            </w:pPr>
            <w:r>
              <w:rPr>
                <w:sz w:val="18"/>
              </w:rPr>
              <w:t>0.8585</w:t>
            </w:r>
          </w:p>
        </w:tc>
        <w:tc>
          <w:tcPr>
            <w:tcW w:w="1250" w:type="dxa"/>
            <w:tcBorders>
              <w:top w:val="nil"/>
              <w:left w:val="nil"/>
              <w:bottom w:val="nil"/>
              <w:right w:val="nil"/>
            </w:tcBorders>
            <w:tcMar>
              <w:top w:w="-1" w:type="dxa"/>
              <w:left w:w="-1" w:type="dxa"/>
              <w:bottom w:w="-1" w:type="dxa"/>
              <w:right w:w="-1" w:type="dxa"/>
            </w:tcMar>
            <w:vAlign w:val="center"/>
          </w:tcPr>
          <w:p w14:paraId="24D6B42D" w14:textId="77777777" w:rsidR="00793432" w:rsidRDefault="00000000">
            <w:pPr>
              <w:spacing w:line="288" w:lineRule="auto"/>
              <w:ind w:firstLine="360"/>
              <w:jc w:val="center"/>
            </w:pPr>
            <w:r>
              <w:rPr>
                <w:sz w:val="18"/>
              </w:rPr>
              <w:t>0.8131</w:t>
            </w:r>
          </w:p>
        </w:tc>
        <w:tc>
          <w:tcPr>
            <w:tcW w:w="1250" w:type="dxa"/>
            <w:tcBorders>
              <w:top w:val="nil"/>
              <w:left w:val="nil"/>
              <w:bottom w:val="nil"/>
              <w:right w:val="nil"/>
            </w:tcBorders>
            <w:tcMar>
              <w:top w:w="-1" w:type="dxa"/>
              <w:left w:w="-1" w:type="dxa"/>
              <w:bottom w:w="-1" w:type="dxa"/>
              <w:right w:w="-1" w:type="dxa"/>
            </w:tcMar>
            <w:vAlign w:val="center"/>
          </w:tcPr>
          <w:p w14:paraId="5BCAE5A2" w14:textId="77777777" w:rsidR="00793432" w:rsidRDefault="00000000">
            <w:pPr>
              <w:spacing w:line="288" w:lineRule="auto"/>
              <w:ind w:firstLine="360"/>
              <w:jc w:val="center"/>
            </w:pPr>
            <w:r>
              <w:rPr>
                <w:sz w:val="18"/>
              </w:rPr>
              <w:t>0.8929</w:t>
            </w:r>
          </w:p>
        </w:tc>
        <w:tc>
          <w:tcPr>
            <w:tcW w:w="1250" w:type="dxa"/>
            <w:tcBorders>
              <w:top w:val="nil"/>
              <w:left w:val="nil"/>
              <w:bottom w:val="nil"/>
              <w:right w:val="nil"/>
            </w:tcBorders>
            <w:tcMar>
              <w:top w:w="-1" w:type="dxa"/>
              <w:left w:w="-1" w:type="dxa"/>
              <w:bottom w:w="-1" w:type="dxa"/>
              <w:right w:w="-1" w:type="dxa"/>
            </w:tcMar>
            <w:vAlign w:val="center"/>
          </w:tcPr>
          <w:p w14:paraId="11D8560A" w14:textId="77777777" w:rsidR="00793432" w:rsidRDefault="00000000">
            <w:pPr>
              <w:spacing w:line="288" w:lineRule="auto"/>
              <w:ind w:firstLine="360"/>
              <w:jc w:val="center"/>
            </w:pPr>
            <w:r>
              <w:rPr>
                <w:sz w:val="18"/>
              </w:rPr>
              <w:t>0.9643</w:t>
            </w:r>
          </w:p>
        </w:tc>
      </w:tr>
      <w:tr w:rsidR="00793432" w14:paraId="4B8A4DDF" w14:textId="77777777">
        <w:trPr>
          <w:jc w:val="center"/>
        </w:trPr>
        <w:tc>
          <w:tcPr>
            <w:tcW w:w="3300" w:type="dxa"/>
            <w:tcBorders>
              <w:top w:val="nil"/>
              <w:left w:val="nil"/>
              <w:bottom w:val="single" w:sz="12" w:space="0" w:color="auto"/>
              <w:right w:val="nil"/>
            </w:tcBorders>
            <w:tcMar>
              <w:top w:w="-1" w:type="dxa"/>
              <w:left w:w="-1" w:type="dxa"/>
              <w:bottom w:w="-1" w:type="dxa"/>
              <w:right w:w="-1" w:type="dxa"/>
            </w:tcMar>
            <w:vAlign w:val="center"/>
          </w:tcPr>
          <w:p w14:paraId="70FF5B81" w14:textId="77777777" w:rsidR="00793432" w:rsidRDefault="00000000">
            <w:pPr>
              <w:spacing w:line="288" w:lineRule="auto"/>
              <w:ind w:firstLine="360"/>
              <w:jc w:val="center"/>
            </w:pPr>
            <w:r>
              <w:rPr>
                <w:sz w:val="18"/>
              </w:rPr>
              <w:t>酚类结构</w:t>
            </w:r>
            <w:r>
              <w:rPr>
                <w:sz w:val="18"/>
              </w:rPr>
              <w:t>+</w:t>
            </w:r>
            <w:r>
              <w:rPr>
                <w:sz w:val="18"/>
              </w:rPr>
              <w:t>绝对电荷</w:t>
            </w:r>
            <w:r>
              <w:rPr>
                <w:sz w:val="18"/>
              </w:rPr>
              <w:t>+Fukui</w:t>
            </w:r>
          </w:p>
        </w:tc>
        <w:tc>
          <w:tcPr>
            <w:tcW w:w="1250" w:type="dxa"/>
            <w:tcBorders>
              <w:top w:val="nil"/>
              <w:left w:val="nil"/>
              <w:bottom w:val="single" w:sz="12" w:space="0" w:color="auto"/>
              <w:right w:val="nil"/>
            </w:tcBorders>
            <w:tcMar>
              <w:top w:w="-1" w:type="dxa"/>
              <w:left w:w="-1" w:type="dxa"/>
              <w:bottom w:w="-1" w:type="dxa"/>
              <w:right w:w="-1" w:type="dxa"/>
            </w:tcMar>
            <w:vAlign w:val="center"/>
          </w:tcPr>
          <w:p w14:paraId="0F6647D2" w14:textId="77777777" w:rsidR="00793432" w:rsidRDefault="00000000">
            <w:pPr>
              <w:spacing w:line="288" w:lineRule="auto"/>
              <w:ind w:firstLine="360"/>
              <w:jc w:val="center"/>
            </w:pPr>
            <w:r>
              <w:rPr>
                <w:sz w:val="18"/>
              </w:rPr>
              <w:t>0.8507</w:t>
            </w:r>
          </w:p>
        </w:tc>
        <w:tc>
          <w:tcPr>
            <w:tcW w:w="1250" w:type="dxa"/>
            <w:tcBorders>
              <w:top w:val="nil"/>
              <w:left w:val="nil"/>
              <w:bottom w:val="single" w:sz="12" w:space="0" w:color="auto"/>
              <w:right w:val="nil"/>
            </w:tcBorders>
            <w:tcMar>
              <w:top w:w="-1" w:type="dxa"/>
              <w:left w:w="-1" w:type="dxa"/>
              <w:bottom w:w="-1" w:type="dxa"/>
              <w:right w:w="-1" w:type="dxa"/>
            </w:tcMar>
            <w:vAlign w:val="center"/>
          </w:tcPr>
          <w:p w14:paraId="61DE02C0" w14:textId="77777777" w:rsidR="00793432" w:rsidRDefault="00000000">
            <w:pPr>
              <w:spacing w:line="288" w:lineRule="auto"/>
              <w:ind w:firstLine="360"/>
              <w:jc w:val="center"/>
            </w:pPr>
            <w:r>
              <w:rPr>
                <w:sz w:val="18"/>
              </w:rPr>
              <w:t>0.8060</w:t>
            </w:r>
          </w:p>
        </w:tc>
        <w:tc>
          <w:tcPr>
            <w:tcW w:w="1250" w:type="dxa"/>
            <w:tcBorders>
              <w:top w:val="nil"/>
              <w:left w:val="nil"/>
              <w:bottom w:val="single" w:sz="12" w:space="0" w:color="auto"/>
              <w:right w:val="nil"/>
            </w:tcBorders>
            <w:tcMar>
              <w:top w:w="-1" w:type="dxa"/>
              <w:left w:w="-1" w:type="dxa"/>
              <w:bottom w:w="-1" w:type="dxa"/>
              <w:right w:w="-1" w:type="dxa"/>
            </w:tcMar>
            <w:vAlign w:val="center"/>
          </w:tcPr>
          <w:p w14:paraId="1D1C7A2F" w14:textId="77777777" w:rsidR="00793432" w:rsidRDefault="00000000">
            <w:pPr>
              <w:spacing w:line="288" w:lineRule="auto"/>
              <w:ind w:firstLine="360"/>
              <w:jc w:val="center"/>
            </w:pPr>
            <w:r>
              <w:rPr>
                <w:sz w:val="18"/>
              </w:rPr>
              <w:t>0.8857</w:t>
            </w:r>
          </w:p>
        </w:tc>
        <w:tc>
          <w:tcPr>
            <w:tcW w:w="1250" w:type="dxa"/>
            <w:tcBorders>
              <w:top w:val="nil"/>
              <w:left w:val="nil"/>
              <w:bottom w:val="single" w:sz="12" w:space="0" w:color="auto"/>
              <w:right w:val="nil"/>
            </w:tcBorders>
            <w:tcMar>
              <w:top w:w="-1" w:type="dxa"/>
              <w:left w:w="-1" w:type="dxa"/>
              <w:bottom w:w="-1" w:type="dxa"/>
              <w:right w:w="-1" w:type="dxa"/>
            </w:tcMar>
            <w:vAlign w:val="center"/>
          </w:tcPr>
          <w:p w14:paraId="68882F45" w14:textId="77777777" w:rsidR="00793432" w:rsidRDefault="00000000">
            <w:pPr>
              <w:spacing w:line="288" w:lineRule="auto"/>
              <w:ind w:firstLine="360"/>
              <w:jc w:val="center"/>
            </w:pPr>
            <w:r>
              <w:rPr>
                <w:sz w:val="18"/>
              </w:rPr>
              <w:t>0.9643</w:t>
            </w:r>
          </w:p>
        </w:tc>
      </w:tr>
    </w:tbl>
    <w:p w14:paraId="13DA3BC1" w14:textId="77777777" w:rsidR="00793432" w:rsidRDefault="00000000">
      <w:r>
        <w:t>在十四组特征组合中，仅加入酚类结构特征即可使</w:t>
      </w:r>
      <w:r>
        <w:t>Random Forest</w:t>
      </w:r>
      <w:r>
        <w:t>的</w:t>
      </w:r>
      <w:r>
        <w:t>PRC</w:t>
      </w:r>
      <w:r>
        <w:t>由无附加量子化学特征时的</w:t>
      </w:r>
      <w:r>
        <w:t>0.8256</w:t>
      </w:r>
      <w:r>
        <w:t>升至</w:t>
      </w:r>
      <w:r>
        <w:t>0.8396</w:t>
      </w:r>
      <w:r>
        <w:t>；进一步加入</w:t>
      </w:r>
      <w:r>
        <w:t>NPA</w:t>
      </w:r>
      <w:r>
        <w:t>和</w:t>
      </w:r>
      <w:r>
        <w:t>Mulliken</w:t>
      </w:r>
      <w:r>
        <w:t>绝对电荷后，</w:t>
      </w:r>
      <w:r>
        <w:t>PRC</w:t>
      </w:r>
      <w:r>
        <w:t>升至</w:t>
      </w:r>
      <w:r>
        <w:t>0.8585</w:t>
      </w:r>
      <w:r>
        <w:t>，构成传统机器学习侧较为稳健的最优组合。仅使用绝对电荷和仅使用原始电荷也均高于基线，说明局部电荷分布对反应位点预测具有稳定贡献。</w:t>
      </w:r>
    </w:p>
    <w:p w14:paraId="3633297D" w14:textId="6888DA17" w:rsidR="00793432" w:rsidRDefault="00000000">
      <w:r>
        <w:t>从化学意义上分析，酚羟基可通过共振效应影响芳香环邻位与对位的电子密度；取代基的给电子或吸电子性质亦会改变自由基攻击倾向</w:t>
      </w:r>
      <w:r>
        <w:fldChar w:fldCharType="begin"/>
      </w:r>
      <w:r>
        <w:instrText xml:space="preserve"> ADDIN ZOTERO_ITEM CSL_CITATION {"citationID":"NYfJ24jE","properties":{"formattedCitation":"\\super [11]\\nosupersub{}","plainCitation":"[11]","noteIndex":0},"citationItems":[{"id":64,"uris":["http://zotero.org/users/20482611/items/FABRM8IR"],"itemData":{"id":64,"type":"webpage","citation-key":"AtmosphericOxidationMechanism","title":"Atmospheric Oxidation Mechanism of Phenol Initiated by OH Radical | The Journal of Physical Chemistry A","URL":"https://pubs.acs.org/doi/abs/10.1021/jp308856b","accessed":{"date-parts":[["2026",5,30]]}}}],"schema":"https://github.com/citation-style-language/schema/raw/master/csl-citation.json"} </w:instrText>
      </w:r>
      <w:r>
        <w:fldChar w:fldCharType="separate"/>
      </w:r>
      <w:r w:rsidR="00820675" w:rsidRPr="00820675">
        <w:rPr>
          <w:rFonts w:cs="Times New Roman"/>
          <w:kern w:val="0"/>
          <w:vertAlign w:val="superscript"/>
        </w:rPr>
        <w:t>[11]</w:t>
      </w:r>
      <w:r>
        <w:fldChar w:fldCharType="end"/>
      </w:r>
      <w:r>
        <w:t>。若机器学习模型仅依赖通用结构特征，则需从有限样本中间接学习上述规律；引入领域特征后，相当于将部分化学先验显式提供给模型，</w:t>
      </w:r>
      <w:r>
        <w:fldChar w:fldCharType="begin"/>
      </w:r>
      <w:r>
        <w:instrText xml:space="preserve"> ADDIN ZOTERO_ITEM CSL_CITATION {"citationID":"n96NO8bh","properties":{"formattedCitation":"\\super [15]\\nosupersub{}","plainCitation":"[15]","noteIndex":0},"citationItems":[{"id":70,"uris":["http://zotero.org/users/20482611/items/64HIHHW5"],"itemData":{"id":70,"type":"webpage","citation-key":"QuantitativeStructureProperty","title":"Quantitative structure–property relationship of the photoelectrochemical oxidation of phenolic pollutants at modified nanoporous titanium oxide using supervised machine learning - Physical Chemistry Chemical Physics (RSC Publishing)","URL":"https://pubs.rsc.org/en/content/articlelanding/2020/cp/d0cp01518k/unauth","accessed":{"date-parts":[["2026",5,30]]}}}],"schema":"https://github.com/citation-style-language/schema/raw/master/csl-citation.json"} </w:instrText>
      </w:r>
      <w:r>
        <w:fldChar w:fldCharType="separate"/>
      </w:r>
      <w:r w:rsidR="00820675" w:rsidRPr="00820675">
        <w:rPr>
          <w:rFonts w:cs="Times New Roman"/>
          <w:kern w:val="0"/>
          <w:vertAlign w:val="superscript"/>
        </w:rPr>
        <w:t>[15]</w:t>
      </w:r>
      <w:r>
        <w:fldChar w:fldCharType="end"/>
      </w:r>
      <w:r>
        <w:t>因此在小样本条件下更易于发挥作用。</w:t>
      </w:r>
    </w:p>
    <w:p w14:paraId="63CB7A19" w14:textId="77777777" w:rsidR="00793432" w:rsidRDefault="00000000">
      <w:r>
        <w:t>图</w:t>
      </w:r>
      <w:r>
        <w:t xml:space="preserve">5-3 </w:t>
      </w:r>
      <w:r>
        <w:t>在相同特征组合上同时给出</w:t>
      </w:r>
      <w:r>
        <w:t xml:space="preserve"> Random Forest </w:t>
      </w:r>
      <w:r>
        <w:t>与</w:t>
      </w:r>
      <w:r>
        <w:t xml:space="preserve"> </w:t>
      </w:r>
      <w:proofErr w:type="spellStart"/>
      <w:r>
        <w:t>Chemprop</w:t>
      </w:r>
      <w:proofErr w:type="spellEnd"/>
      <w:r>
        <w:t xml:space="preserve"> </w:t>
      </w:r>
      <w:r>
        <w:t>的</w:t>
      </w:r>
      <w:r>
        <w:t xml:space="preserve"> PRC</w:t>
      </w:r>
      <w:r>
        <w:t>，便于直观比较两类模型对相同人工特征的响应方式。</w:t>
      </w:r>
      <w:proofErr w:type="spellStart"/>
      <w:r>
        <w:t>Chemprop</w:t>
      </w:r>
      <w:proofErr w:type="spellEnd"/>
      <w:r>
        <w:t>加入同一组原子描述符后也呈现正向趋势：无附加量子化学特征时</w:t>
      </w:r>
      <w:r>
        <w:t>PRC</w:t>
      </w:r>
      <w:r>
        <w:t>为</w:t>
      </w:r>
      <w:r>
        <w:t>0.6940</w:t>
      </w:r>
      <w:r>
        <w:t>，仅酚类结构特征为</w:t>
      </w:r>
      <w:r>
        <w:t>0.7231</w:t>
      </w:r>
      <w:r>
        <w:t>，酚类结构</w:t>
      </w:r>
      <w:r>
        <w:t>+Fukui</w:t>
      </w:r>
      <w:r>
        <w:t>为</w:t>
      </w:r>
      <w:r>
        <w:t>0.7300</w:t>
      </w:r>
      <w:r>
        <w:t>，全融合特征为</w:t>
      </w:r>
      <w:r>
        <w:t>0.7344</w:t>
      </w:r>
      <w:r>
        <w:t>。其中，酚类结构</w:t>
      </w:r>
      <w:r>
        <w:t>+Fukui</w:t>
      </w:r>
      <w:r>
        <w:t>在</w:t>
      </w:r>
      <w:r>
        <w:t>Hit@1</w:t>
      </w:r>
      <w:r>
        <w:t>、</w:t>
      </w:r>
      <w:r>
        <w:t>Hit@3</w:t>
      </w:r>
      <w:r>
        <w:t>和</w:t>
      </w:r>
      <w:r>
        <w:t>MRR</w:t>
      </w:r>
      <w:r>
        <w:t>上略优于全融合，表明</w:t>
      </w:r>
      <w:r>
        <w:t>Fukui</w:t>
      </w:r>
      <w:r>
        <w:t>与酚类结构特征在图神经网络中具有一定互补性；</w:t>
      </w:r>
      <w:r>
        <w:t>NICS</w:t>
      </w:r>
      <w:r>
        <w:t>单独提供正向信号，但与芳香环结构特征存在部分重叠。</w:t>
      </w:r>
    </w:p>
    <w:p w14:paraId="1017FB2F" w14:textId="77777777" w:rsidR="00793432" w:rsidRDefault="00793432">
      <w:pPr>
        <w:spacing w:line="400" w:lineRule="atLeast"/>
      </w:pPr>
    </w:p>
    <w:p w14:paraId="7CCFFE71" w14:textId="6EB13DC9" w:rsidR="00793432" w:rsidRDefault="00000000" w:rsidP="008C7972">
      <w:pPr>
        <w:spacing w:line="400" w:lineRule="atLeast"/>
        <w:ind w:firstLine="422"/>
        <w:jc w:val="center"/>
      </w:pPr>
      <w:r>
        <w:rPr>
          <w:noProof/>
        </w:rPr>
        <w:lastRenderedPageBreak/>
        <w:drawing>
          <wp:anchor distT="0" distB="0" distL="114300" distR="114300" simplePos="0" relativeHeight="251663360" behindDoc="0" locked="0" layoutInCell="1" allowOverlap="1" wp14:anchorId="3604170C" wp14:editId="55F4ED1E">
            <wp:simplePos x="0" y="0"/>
            <wp:positionH relativeFrom="column">
              <wp:posOffset>-95250</wp:posOffset>
            </wp:positionH>
            <wp:positionV relativeFrom="paragraph">
              <wp:posOffset>-6050915</wp:posOffset>
            </wp:positionV>
            <wp:extent cx="5669280" cy="2695575"/>
            <wp:effectExtent l="0" t="0" r="0" b="1905"/>
            <wp:wrapTopAndBottom/>
            <wp:docPr id="9013" name="Picture 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 name="Picture 9013"/>
                    <pic:cNvPicPr>
                      <a:picLocks noChangeAspect="1"/>
                    </pic:cNvPicPr>
                  </pic:nvPicPr>
                  <pic:blipFill>
                    <a:blip r:embed="rId41"/>
                    <a:stretch>
                      <a:fillRect/>
                    </a:stretch>
                  </pic:blipFill>
                  <pic:spPr>
                    <a:xfrm>
                      <a:off x="0" y="0"/>
                      <a:ext cx="5669280" cy="2695724"/>
                    </a:xfrm>
                    <a:prstGeom prst="rect">
                      <a:avLst/>
                    </a:prstGeom>
                  </pic:spPr>
                </pic:pic>
              </a:graphicData>
            </a:graphic>
          </wp:anchor>
        </w:drawing>
      </w:r>
      <w:r>
        <w:t>图</w:t>
      </w:r>
      <w:r>
        <w:t>5-3 Gaussian</w:t>
      </w:r>
      <w:r>
        <w:t>量子化学描述符消融实验</w:t>
      </w:r>
      <w:r>
        <w:t>PRC</w:t>
      </w:r>
      <w:r>
        <w:t>对比</w:t>
      </w:r>
    </w:p>
    <w:p w14:paraId="7536B371" w14:textId="77777777" w:rsidR="00793432" w:rsidRDefault="00000000">
      <w:r>
        <w:t>对酚类结构特征贡献的进一步分析可分为模型和化学两个视角。从模型视角看，仅加入酚类结构特征后，</w:t>
      </w:r>
      <w:r>
        <w:t>Random Forest</w:t>
      </w:r>
      <w:r>
        <w:t>的</w:t>
      </w:r>
      <w:r>
        <w:t>Hit@1</w:t>
      </w:r>
      <w:r>
        <w:t>由</w:t>
      </w:r>
      <w:r>
        <w:t>0.8786</w:t>
      </w:r>
      <w:r>
        <w:t>升至</w:t>
      </w:r>
      <w:r>
        <w:t>0.8857</w:t>
      </w:r>
      <w:r>
        <w:t>，</w:t>
      </w:r>
      <w:r>
        <w:t>PRC</w:t>
      </w:r>
      <w:r>
        <w:t>由</w:t>
      </w:r>
      <w:r>
        <w:t>0.8256</w:t>
      </w:r>
      <w:r>
        <w:t>升至</w:t>
      </w:r>
      <w:r>
        <w:t>0.8396</w:t>
      </w:r>
      <w:r>
        <w:t>；从化学视角看，酚羟基数量、对位关系和邻位取代数量等变量使模型能够直接区分芳香环上的邻位、间位和对位原子，这与酚类自由基反应的位点选择性一致。</w:t>
      </w:r>
    </w:p>
    <w:p w14:paraId="4E8EF07C" w14:textId="77777777" w:rsidR="00793432" w:rsidRDefault="00000000">
      <w:r>
        <w:t>在酚类结构特征基础上叠加</w:t>
      </w:r>
      <w:r>
        <w:t>NPA</w:t>
      </w:r>
      <w:r>
        <w:t>和</w:t>
      </w:r>
      <w:r>
        <w:t>Mulliken</w:t>
      </w:r>
      <w:r>
        <w:t>绝对电荷后，</w:t>
      </w:r>
      <w:r>
        <w:t>Random Forest</w:t>
      </w:r>
      <w:r>
        <w:t>的</w:t>
      </w:r>
      <w:r>
        <w:t>PRC</w:t>
      </w:r>
      <w:r>
        <w:t>升至</w:t>
      </w:r>
      <w:r>
        <w:t>0.8585</w:t>
      </w:r>
      <w:r>
        <w:t>，</w:t>
      </w:r>
      <w:r>
        <w:t>Best F1</w:t>
      </w:r>
      <w:r>
        <w:t>升至</w:t>
      </w:r>
      <w:r>
        <w:t>0.8131</w:t>
      </w:r>
      <w:r>
        <w:t>；进一步叠加</w:t>
      </w:r>
      <w:r>
        <w:t>NICS</w:t>
      </w:r>
      <w:r>
        <w:t>后，</w:t>
      </w:r>
      <w:r>
        <w:t>PRC</w:t>
      </w:r>
      <w:r>
        <w:t>基本持平而</w:t>
      </w:r>
      <w:r>
        <w:t>Best F1</w:t>
      </w:r>
      <w:r>
        <w:t>升至</w:t>
      </w:r>
      <w:r>
        <w:t>0.8231</w:t>
      </w:r>
      <w:r>
        <w:t>。这表明</w:t>
      </w:r>
      <w:r>
        <w:t>NICS</w:t>
      </w:r>
      <w:r>
        <w:t>在</w:t>
      </w:r>
      <w:r>
        <w:t>Random Forest</w:t>
      </w:r>
      <w:r>
        <w:t>中主要改善阈值附近的精度</w:t>
      </w:r>
      <w:r>
        <w:t>-</w:t>
      </w:r>
      <w:r>
        <w:t>召回平衡，而对平均排序的增益有限。论文主结果因此采用</w:t>
      </w:r>
      <w:r>
        <w:t>“</w:t>
      </w:r>
      <w:r>
        <w:t>酚类结构</w:t>
      </w:r>
      <w:r>
        <w:t>+</w:t>
      </w:r>
      <w:r>
        <w:t>绝对电荷</w:t>
      </w:r>
      <w:r>
        <w:t>”</w:t>
      </w:r>
      <w:r>
        <w:t>组合，并将</w:t>
      </w:r>
      <w:r>
        <w:t>“</w:t>
      </w:r>
      <w:r>
        <w:t>酚类结构</w:t>
      </w:r>
      <w:r>
        <w:t>+</w:t>
      </w:r>
      <w:r>
        <w:t>绝对电荷</w:t>
      </w:r>
      <w:r>
        <w:t>+NICS”</w:t>
      </w:r>
      <w:r>
        <w:t>作为补充结果。</w:t>
      </w:r>
    </w:p>
    <w:p w14:paraId="5CAC9764" w14:textId="77777777" w:rsidR="00793432" w:rsidRDefault="00000000">
      <w:r>
        <w:t>为了比较不同特征因子在</w:t>
      </w:r>
      <w:r>
        <w:t>Random Forest</w:t>
      </w:r>
      <w:r>
        <w:t>与</w:t>
      </w:r>
      <w:proofErr w:type="spellStart"/>
      <w:r>
        <w:t>Chemprop</w:t>
      </w:r>
      <w:proofErr w:type="spellEnd"/>
      <w:r>
        <w:t>中的作用，本文补充了两幅特征贡献图。图</w:t>
      </w:r>
      <w:r>
        <w:t>5-4</w:t>
      </w:r>
      <w:r>
        <w:t>展示两类模型在相同特征组合下的</w:t>
      </w:r>
      <w:r>
        <w:t>PRC</w:t>
      </w:r>
      <w:r>
        <w:t>均值与种子间标准差，图</w:t>
      </w:r>
      <w:r>
        <w:t>5-5</w:t>
      </w:r>
      <w:r>
        <w:t>进一步拆分相邻特征组合之间的</w:t>
      </w:r>
      <w:r>
        <w:t>PRC</w:t>
      </w:r>
      <w:r>
        <w:t>增量。这种呈现方式有助于区分稳定增益、模型相关增益和小样本波动。</w:t>
      </w:r>
    </w:p>
    <w:p w14:paraId="6438C911" w14:textId="77777777" w:rsidR="00793432" w:rsidRDefault="00793432">
      <w:pPr>
        <w:spacing w:line="400" w:lineRule="atLeast"/>
        <w:ind w:firstLineChars="0" w:firstLine="0"/>
      </w:pPr>
    </w:p>
    <w:p w14:paraId="71868709" w14:textId="77777777" w:rsidR="00793432" w:rsidRDefault="00000000">
      <w:pPr>
        <w:spacing w:before="120" w:after="120" w:line="400" w:lineRule="atLeast"/>
      </w:pPr>
      <w:r>
        <w:rPr>
          <w:noProof/>
        </w:rPr>
        <w:lastRenderedPageBreak/>
        <w:drawing>
          <wp:inline distT="0" distB="0" distL="114300" distR="114300" wp14:anchorId="303975DC" wp14:editId="276B4A39">
            <wp:extent cx="5253990" cy="2228850"/>
            <wp:effectExtent l="0" t="0" r="3810" b="11430"/>
            <wp:docPr id="9014" name="Picture 9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 name="Picture 9014"/>
                    <pic:cNvPicPr>
                      <a:picLocks noChangeAspect="1"/>
                    </pic:cNvPicPr>
                  </pic:nvPicPr>
                  <pic:blipFill>
                    <a:blip r:embed="rId42"/>
                    <a:stretch>
                      <a:fillRect/>
                    </a:stretch>
                  </pic:blipFill>
                  <pic:spPr>
                    <a:xfrm>
                      <a:off x="0" y="0"/>
                      <a:ext cx="5253990" cy="2228850"/>
                    </a:xfrm>
                    <a:prstGeom prst="rect">
                      <a:avLst/>
                    </a:prstGeom>
                  </pic:spPr>
                </pic:pic>
              </a:graphicData>
            </a:graphic>
          </wp:inline>
        </w:drawing>
      </w:r>
    </w:p>
    <w:p w14:paraId="50F759C2" w14:textId="77777777" w:rsidR="00793432" w:rsidRDefault="00000000">
      <w:pPr>
        <w:pStyle w:val="a3"/>
        <w:ind w:firstLine="422"/>
      </w:pPr>
      <w:r>
        <w:rPr>
          <w:rFonts w:ascii="Times New Roman" w:hAnsi="Times New Roman"/>
        </w:rPr>
        <w:t>图</w:t>
      </w:r>
      <w:r>
        <w:rPr>
          <w:rFonts w:ascii="Times New Roman" w:hAnsi="Times New Roman"/>
        </w:rPr>
        <w:t xml:space="preserve">5-4 </w:t>
      </w:r>
      <w:r>
        <w:rPr>
          <w:rFonts w:ascii="Times New Roman" w:hAnsi="Times New Roman"/>
        </w:rPr>
        <w:t>不同特征因子下</w:t>
      </w:r>
      <w:r>
        <w:rPr>
          <w:rFonts w:ascii="Times New Roman" w:hAnsi="Times New Roman"/>
        </w:rPr>
        <w:t xml:space="preserve"> Random Forest </w:t>
      </w:r>
      <w:r>
        <w:rPr>
          <w:rFonts w:ascii="Times New Roman" w:hAnsi="Times New Roman"/>
        </w:rPr>
        <w:t>与</w:t>
      </w:r>
      <w:r>
        <w:rPr>
          <w:rFonts w:ascii="Times New Roman" w:hAnsi="Times New Roman"/>
        </w:rPr>
        <w:t xml:space="preserve"> </w:t>
      </w:r>
      <w:proofErr w:type="spellStart"/>
      <w:r>
        <w:rPr>
          <w:rFonts w:ascii="Times New Roman" w:hAnsi="Times New Roman"/>
        </w:rPr>
        <w:t>Chemprop</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PRC </w:t>
      </w:r>
      <w:r>
        <w:rPr>
          <w:rFonts w:ascii="Times New Roman" w:hAnsi="Times New Roman"/>
        </w:rPr>
        <w:t>对比</w:t>
      </w:r>
    </w:p>
    <w:p w14:paraId="3C3B3A1F" w14:textId="77777777" w:rsidR="00793432" w:rsidRDefault="00000000">
      <w:r>
        <w:t>图</w:t>
      </w:r>
      <w:r>
        <w:t>5-4</w:t>
      </w:r>
      <w:r>
        <w:t>显示，在相同</w:t>
      </w:r>
      <w:r>
        <w:t>Gaussian-138</w:t>
      </w:r>
      <w:r>
        <w:t>数据口径下，</w:t>
      </w:r>
      <w:r>
        <w:t>Random Forest</w:t>
      </w:r>
      <w:r>
        <w:t>整体</w:t>
      </w:r>
      <w:r>
        <w:t>PRC</w:t>
      </w:r>
      <w:r>
        <w:t>高于</w:t>
      </w:r>
      <w:proofErr w:type="spellStart"/>
      <w:r>
        <w:t>Chemprop</w:t>
      </w:r>
      <w:proofErr w:type="spellEnd"/>
      <w:r>
        <w:t>，但两者对特征因子的响应模式不同。</w:t>
      </w:r>
      <w:r>
        <w:t>Random Forest</w:t>
      </w:r>
      <w:r>
        <w:t>对结构与电荷类特征更敏感，原始电荷、绝对电荷和酚类结构特征单独加入即可带来提升；</w:t>
      </w:r>
      <w:proofErr w:type="spellStart"/>
      <w:r>
        <w:t>Chemprop</w:t>
      </w:r>
      <w:proofErr w:type="spellEnd"/>
      <w:r>
        <w:t>则更依赖</w:t>
      </w:r>
      <w:r>
        <w:t>Fukui</w:t>
      </w:r>
      <w:r>
        <w:t>、</w:t>
      </w:r>
      <w:r>
        <w:t>NICS</w:t>
      </w:r>
      <w:r>
        <w:t>和电荷等反应性原子描述符的注入，全融合特征下</w:t>
      </w:r>
      <w:r>
        <w:t>PRC</w:t>
      </w:r>
      <w:r>
        <w:t>达到</w:t>
      </w:r>
      <w:r>
        <w:t>0.7344</w:t>
      </w:r>
      <w:r>
        <w:t>。</w:t>
      </w:r>
    </w:p>
    <w:p w14:paraId="47319E83" w14:textId="77777777" w:rsidR="00793432" w:rsidRDefault="00000000">
      <w:pPr>
        <w:ind w:firstLineChars="0" w:firstLine="0"/>
        <w:jc w:val="center"/>
      </w:pPr>
      <w:r>
        <w:rPr>
          <w:noProof/>
        </w:rPr>
        <w:drawing>
          <wp:inline distT="0" distB="0" distL="114300" distR="114300" wp14:anchorId="5A0B2341" wp14:editId="78545771">
            <wp:extent cx="5852160" cy="2698115"/>
            <wp:effectExtent l="0" t="0" r="0" b="14605"/>
            <wp:docPr id="9031" name="Picture 9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 name="Picture 9031"/>
                    <pic:cNvPicPr>
                      <a:picLocks noChangeAspect="1"/>
                    </pic:cNvPicPr>
                  </pic:nvPicPr>
                  <pic:blipFill>
                    <a:blip r:embed="rId43"/>
                    <a:stretch>
                      <a:fillRect/>
                    </a:stretch>
                  </pic:blipFill>
                  <pic:spPr>
                    <a:xfrm>
                      <a:off x="0" y="0"/>
                      <a:ext cx="5852160" cy="2698149"/>
                    </a:xfrm>
                    <a:prstGeom prst="rect">
                      <a:avLst/>
                    </a:prstGeom>
                  </pic:spPr>
                </pic:pic>
              </a:graphicData>
            </a:graphic>
          </wp:inline>
        </w:drawing>
      </w:r>
    </w:p>
    <w:p w14:paraId="559AECF8" w14:textId="77777777" w:rsidR="00793432" w:rsidRDefault="00000000">
      <w:pPr>
        <w:pStyle w:val="a3"/>
        <w:spacing w:line="400" w:lineRule="atLeast"/>
        <w:ind w:firstLine="422"/>
        <w:rPr>
          <w:rFonts w:ascii="Times New Roman" w:hAnsi="Times New Roman"/>
        </w:rPr>
      </w:pPr>
      <w:r>
        <w:rPr>
          <w:rFonts w:ascii="Times New Roman" w:hAnsi="Times New Roman"/>
        </w:rPr>
        <w:t>图</w:t>
      </w:r>
      <w:r>
        <w:rPr>
          <w:rFonts w:ascii="Times New Roman" w:hAnsi="Times New Roman"/>
        </w:rPr>
        <w:t xml:space="preserve">5-5 </w:t>
      </w:r>
      <w:r>
        <w:rPr>
          <w:rFonts w:ascii="Times New Roman" w:hAnsi="Times New Roman"/>
        </w:rPr>
        <w:t>不同特征因子的</w:t>
      </w:r>
      <w:r>
        <w:rPr>
          <w:rFonts w:ascii="Times New Roman" w:hAnsi="Times New Roman"/>
        </w:rPr>
        <w:t xml:space="preserve"> PRC </w:t>
      </w:r>
      <w:r>
        <w:rPr>
          <w:rFonts w:ascii="Times New Roman" w:hAnsi="Times New Roman"/>
        </w:rPr>
        <w:t>增量贡献</w:t>
      </w:r>
    </w:p>
    <w:p w14:paraId="3381B6B8" w14:textId="77777777" w:rsidR="00793432" w:rsidRDefault="00793432">
      <w:pPr>
        <w:spacing w:line="400" w:lineRule="atLeast"/>
        <w:ind w:firstLine="422"/>
        <w:rPr>
          <w:b/>
          <w:sz w:val="21"/>
        </w:rPr>
      </w:pPr>
    </w:p>
    <w:p w14:paraId="124B7568" w14:textId="77777777" w:rsidR="00793432" w:rsidRDefault="00000000">
      <w:pPr>
        <w:pStyle w:val="a3"/>
        <w:jc w:val="both"/>
        <w:rPr>
          <w:rFonts w:ascii="宋体" w:hAnsi="宋体" w:cs="宋体"/>
          <w:b w:val="0"/>
          <w:bCs/>
          <w:sz w:val="24"/>
          <w:szCs w:val="24"/>
        </w:rPr>
      </w:pPr>
      <w:r>
        <w:rPr>
          <w:rFonts w:ascii="宋体" w:hAnsi="宋体" w:cs="宋体" w:hint="eastAsia"/>
          <w:b w:val="0"/>
          <w:bCs/>
          <w:sz w:val="24"/>
          <w:szCs w:val="24"/>
        </w:rPr>
        <w:t>图5-5进一步说明，Fukui与NICS的增量贡献依赖模型结构。在</w:t>
      </w:r>
      <w:proofErr w:type="spellStart"/>
      <w:r>
        <w:rPr>
          <w:rFonts w:ascii="宋体" w:hAnsi="宋体" w:cs="宋体" w:hint="eastAsia"/>
          <w:b w:val="0"/>
          <w:bCs/>
          <w:sz w:val="24"/>
          <w:szCs w:val="24"/>
        </w:rPr>
        <w:t>Chemprop</w:t>
      </w:r>
      <w:proofErr w:type="spellEnd"/>
      <w:r>
        <w:rPr>
          <w:rFonts w:ascii="宋体" w:hAnsi="宋体" w:cs="宋体" w:hint="eastAsia"/>
          <w:b w:val="0"/>
          <w:bCs/>
          <w:sz w:val="24"/>
          <w:szCs w:val="24"/>
        </w:rPr>
        <w:t>中，酚类结构+Fukui较仅酚类结构的PRC增量约为+0.0069，全融合较酚类结构+绝对电荷的增量约为+0.0143；在Random Forest中，Fukui叠加后未超过酚类结构+绝对电荷组合，NICS主要改善Best F1。该结果说明，反应性描述符更适合作为图神经网络的原子级补充，而树模型已能从领域结构特征与电荷绝对值中</w:t>
      </w:r>
      <w:r>
        <w:rPr>
          <w:rFonts w:ascii="宋体" w:hAnsi="宋体" w:cs="宋体" w:hint="eastAsia"/>
          <w:b w:val="0"/>
          <w:bCs/>
          <w:sz w:val="24"/>
          <w:szCs w:val="24"/>
        </w:rPr>
        <w:lastRenderedPageBreak/>
        <w:t>获得较充分的信息。</w:t>
      </w:r>
    </w:p>
    <w:p w14:paraId="73E3D1F9" w14:textId="77777777" w:rsidR="00793432" w:rsidRDefault="00000000">
      <w:pPr>
        <w:pStyle w:val="2"/>
        <w:spacing w:line="360" w:lineRule="auto"/>
        <w:ind w:firstLineChars="0" w:firstLine="0"/>
      </w:pPr>
      <w:bookmarkStart w:id="25" w:name="_Toc30514"/>
      <w:r>
        <w:t>5.4Fukui</w:t>
      </w:r>
      <w:r>
        <w:t>、</w:t>
      </w:r>
      <w:r>
        <w:t>NICS</w:t>
      </w:r>
      <w:r>
        <w:t>与最终融合</w:t>
      </w:r>
      <w:bookmarkEnd w:id="25"/>
    </w:p>
    <w:p w14:paraId="05FB2A55" w14:textId="77777777" w:rsidR="00793432" w:rsidRDefault="00000000">
      <w:pPr>
        <w:pStyle w:val="a3"/>
        <w:ind w:firstLine="422"/>
      </w:pPr>
      <w:r>
        <w:rPr>
          <w:rFonts w:ascii="Times New Roman" w:hAnsi="Times New Roman"/>
        </w:rPr>
        <w:t>表</w:t>
      </w:r>
      <w:r>
        <w:rPr>
          <w:rFonts w:ascii="Times New Roman" w:hAnsi="Times New Roman"/>
        </w:rPr>
        <w:t>5-4 14</w:t>
      </w:r>
      <w:r>
        <w:rPr>
          <w:rFonts w:ascii="Times New Roman" w:hAnsi="Times New Roman"/>
        </w:rPr>
        <w:t>组特征集消融与最终融合（</w:t>
      </w:r>
      <w:r>
        <w:rPr>
          <w:rFonts w:ascii="Times New Roman" w:hAnsi="Times New Roman"/>
        </w:rPr>
        <w:t xml:space="preserve">Random Forest </w:t>
      </w:r>
      <w:r>
        <w:rPr>
          <w:rFonts w:ascii="Times New Roman" w:hAnsi="Times New Roman"/>
        </w:rPr>
        <w:t>与</w:t>
      </w:r>
      <w:r>
        <w:rPr>
          <w:rFonts w:ascii="Times New Roman" w:hAnsi="Times New Roman"/>
        </w:rPr>
        <w:t xml:space="preserve"> </w:t>
      </w:r>
      <w:proofErr w:type="spellStart"/>
      <w:r>
        <w:rPr>
          <w:rFonts w:ascii="Times New Roman" w:hAnsi="Times New Roman"/>
        </w:rPr>
        <w:t>Chemprop</w:t>
      </w:r>
      <w:proofErr w:type="spellEnd"/>
      <w:r>
        <w:rPr>
          <w:rFonts w:ascii="Times New Roman" w:hAnsi="Times New Roman"/>
        </w:rPr>
        <w:t>，</w:t>
      </w:r>
      <w:r>
        <w:rPr>
          <w:rFonts w:ascii="Times New Roman" w:hAnsi="Times New Roman"/>
        </w:rPr>
        <w:t>5</w:t>
      </w:r>
      <w:r>
        <w:rPr>
          <w:rFonts w:ascii="Times New Roman" w:hAnsi="Times New Roman"/>
        </w:rPr>
        <w:t>种子均值）</w:t>
      </w:r>
    </w:p>
    <w:tbl>
      <w:tblPr>
        <w:tblStyle w:val="aa"/>
        <w:tblW w:w="8750"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ayout w:type="fixed"/>
        <w:tblLook w:val="04A0" w:firstRow="1" w:lastRow="0" w:firstColumn="1" w:lastColumn="0" w:noHBand="0" w:noVBand="1"/>
      </w:tblPr>
      <w:tblGrid>
        <w:gridCol w:w="2450"/>
        <w:gridCol w:w="1300"/>
        <w:gridCol w:w="1250"/>
        <w:gridCol w:w="1250"/>
        <w:gridCol w:w="1250"/>
        <w:gridCol w:w="1250"/>
      </w:tblGrid>
      <w:tr w:rsidR="00793432" w14:paraId="1A5BDD44" w14:textId="77777777">
        <w:trPr>
          <w:jc w:val="center"/>
        </w:trPr>
        <w:tc>
          <w:tcPr>
            <w:tcW w:w="2450" w:type="dxa"/>
            <w:tcBorders>
              <w:top w:val="single" w:sz="12" w:space="0" w:color="auto"/>
              <w:left w:val="nil"/>
              <w:bottom w:val="nil"/>
              <w:right w:val="nil"/>
            </w:tcBorders>
            <w:tcMar>
              <w:top w:w="-1" w:type="dxa"/>
              <w:left w:w="-1" w:type="dxa"/>
              <w:bottom w:w="-1" w:type="dxa"/>
              <w:right w:w="-1" w:type="dxa"/>
            </w:tcMar>
            <w:vAlign w:val="center"/>
          </w:tcPr>
          <w:p w14:paraId="0F93AF83" w14:textId="77777777" w:rsidR="00793432" w:rsidRDefault="00000000">
            <w:pPr>
              <w:spacing w:line="288" w:lineRule="auto"/>
              <w:ind w:firstLine="360"/>
              <w:jc w:val="center"/>
            </w:pPr>
            <w:r>
              <w:rPr>
                <w:sz w:val="18"/>
              </w:rPr>
              <w:t>特征组合</w:t>
            </w:r>
          </w:p>
        </w:tc>
        <w:tc>
          <w:tcPr>
            <w:tcW w:w="1300" w:type="dxa"/>
            <w:tcBorders>
              <w:top w:val="single" w:sz="12" w:space="0" w:color="auto"/>
              <w:left w:val="nil"/>
              <w:bottom w:val="nil"/>
              <w:right w:val="nil"/>
            </w:tcBorders>
            <w:tcMar>
              <w:top w:w="-1" w:type="dxa"/>
              <w:left w:w="-1" w:type="dxa"/>
              <w:bottom w:w="-1" w:type="dxa"/>
              <w:right w:w="-1" w:type="dxa"/>
            </w:tcMar>
            <w:vAlign w:val="center"/>
          </w:tcPr>
          <w:p w14:paraId="2FC0E3A5" w14:textId="77777777" w:rsidR="00793432" w:rsidRDefault="00000000">
            <w:pPr>
              <w:spacing w:line="288" w:lineRule="auto"/>
              <w:ind w:firstLine="360"/>
              <w:jc w:val="center"/>
            </w:pPr>
            <w:r>
              <w:rPr>
                <w:sz w:val="18"/>
              </w:rPr>
              <w:t>Random Forest PRC</w:t>
            </w:r>
          </w:p>
        </w:tc>
        <w:tc>
          <w:tcPr>
            <w:tcW w:w="1250" w:type="dxa"/>
            <w:tcBorders>
              <w:top w:val="single" w:sz="12" w:space="0" w:color="auto"/>
              <w:left w:val="nil"/>
              <w:bottom w:val="nil"/>
              <w:right w:val="nil"/>
            </w:tcBorders>
            <w:tcMar>
              <w:top w:w="-1" w:type="dxa"/>
              <w:left w:w="-1" w:type="dxa"/>
              <w:bottom w:w="-1" w:type="dxa"/>
              <w:right w:w="-1" w:type="dxa"/>
            </w:tcMar>
            <w:vAlign w:val="center"/>
          </w:tcPr>
          <w:p w14:paraId="15EA0D7B" w14:textId="77777777" w:rsidR="00793432" w:rsidRDefault="00000000">
            <w:pPr>
              <w:spacing w:line="288" w:lineRule="auto"/>
              <w:ind w:firstLine="360"/>
              <w:jc w:val="center"/>
            </w:pPr>
            <w:r>
              <w:rPr>
                <w:sz w:val="18"/>
              </w:rPr>
              <w:t>Random Forest Hit@1</w:t>
            </w:r>
          </w:p>
        </w:tc>
        <w:tc>
          <w:tcPr>
            <w:tcW w:w="1250" w:type="dxa"/>
            <w:tcBorders>
              <w:top w:val="single" w:sz="12" w:space="0" w:color="auto"/>
              <w:left w:val="nil"/>
              <w:bottom w:val="nil"/>
              <w:right w:val="nil"/>
            </w:tcBorders>
            <w:tcMar>
              <w:top w:w="-1" w:type="dxa"/>
              <w:left w:w="-1" w:type="dxa"/>
              <w:bottom w:w="-1" w:type="dxa"/>
              <w:right w:w="-1" w:type="dxa"/>
            </w:tcMar>
            <w:vAlign w:val="center"/>
          </w:tcPr>
          <w:p w14:paraId="4F13E7AC" w14:textId="77777777" w:rsidR="00793432" w:rsidRDefault="00000000">
            <w:pPr>
              <w:spacing w:line="288" w:lineRule="auto"/>
              <w:ind w:firstLine="360"/>
              <w:jc w:val="center"/>
            </w:pPr>
            <w:proofErr w:type="spellStart"/>
            <w:r>
              <w:rPr>
                <w:sz w:val="18"/>
              </w:rPr>
              <w:t>Chemprop</w:t>
            </w:r>
            <w:proofErr w:type="spellEnd"/>
            <w:r>
              <w:rPr>
                <w:sz w:val="18"/>
              </w:rPr>
              <w:t xml:space="preserve"> PRC</w:t>
            </w:r>
          </w:p>
        </w:tc>
        <w:tc>
          <w:tcPr>
            <w:tcW w:w="1250" w:type="dxa"/>
            <w:tcBorders>
              <w:top w:val="single" w:sz="12" w:space="0" w:color="auto"/>
              <w:left w:val="nil"/>
              <w:bottom w:val="nil"/>
              <w:right w:val="nil"/>
            </w:tcBorders>
            <w:tcMar>
              <w:top w:w="-1" w:type="dxa"/>
              <w:left w:w="-1" w:type="dxa"/>
              <w:bottom w:w="-1" w:type="dxa"/>
              <w:right w:w="-1" w:type="dxa"/>
            </w:tcMar>
            <w:vAlign w:val="center"/>
          </w:tcPr>
          <w:p w14:paraId="49AB8FF8" w14:textId="77777777" w:rsidR="00793432" w:rsidRDefault="00000000">
            <w:pPr>
              <w:spacing w:line="288" w:lineRule="auto"/>
              <w:ind w:firstLine="360"/>
              <w:jc w:val="center"/>
            </w:pPr>
            <w:proofErr w:type="spellStart"/>
            <w:r>
              <w:rPr>
                <w:sz w:val="18"/>
              </w:rPr>
              <w:t>Chemprop</w:t>
            </w:r>
            <w:proofErr w:type="spellEnd"/>
            <w:r>
              <w:rPr>
                <w:sz w:val="18"/>
              </w:rPr>
              <w:t xml:space="preserve"> Hit@1</w:t>
            </w:r>
          </w:p>
        </w:tc>
        <w:tc>
          <w:tcPr>
            <w:tcW w:w="1250" w:type="dxa"/>
            <w:tcBorders>
              <w:top w:val="single" w:sz="12" w:space="0" w:color="auto"/>
              <w:left w:val="nil"/>
              <w:bottom w:val="nil"/>
              <w:right w:val="nil"/>
            </w:tcBorders>
            <w:tcMar>
              <w:top w:w="-1" w:type="dxa"/>
              <w:left w:w="-1" w:type="dxa"/>
              <w:bottom w:w="-1" w:type="dxa"/>
              <w:right w:w="-1" w:type="dxa"/>
            </w:tcMar>
            <w:vAlign w:val="center"/>
          </w:tcPr>
          <w:p w14:paraId="55BEF8CE" w14:textId="77777777" w:rsidR="00793432" w:rsidRDefault="00000000">
            <w:pPr>
              <w:spacing w:line="288" w:lineRule="auto"/>
              <w:ind w:firstLine="360"/>
              <w:jc w:val="center"/>
            </w:pPr>
            <w:r>
              <w:rPr>
                <w:sz w:val="18"/>
              </w:rPr>
              <w:t>主要含义</w:t>
            </w:r>
          </w:p>
        </w:tc>
      </w:tr>
      <w:tr w:rsidR="00793432" w14:paraId="26A729C1" w14:textId="77777777">
        <w:trPr>
          <w:jc w:val="center"/>
        </w:trPr>
        <w:tc>
          <w:tcPr>
            <w:tcW w:w="2450" w:type="dxa"/>
            <w:tcBorders>
              <w:top w:val="single" w:sz="4" w:space="0" w:color="auto"/>
              <w:left w:val="nil"/>
              <w:bottom w:val="nil"/>
              <w:right w:val="nil"/>
            </w:tcBorders>
            <w:tcMar>
              <w:top w:w="-1" w:type="dxa"/>
              <w:left w:w="-1" w:type="dxa"/>
              <w:bottom w:w="-1" w:type="dxa"/>
              <w:right w:w="-1" w:type="dxa"/>
            </w:tcMar>
            <w:vAlign w:val="center"/>
          </w:tcPr>
          <w:p w14:paraId="514438CB" w14:textId="77777777" w:rsidR="00793432" w:rsidRDefault="00000000">
            <w:pPr>
              <w:spacing w:line="288" w:lineRule="auto"/>
              <w:ind w:firstLine="360"/>
              <w:jc w:val="center"/>
            </w:pPr>
            <w:r>
              <w:rPr>
                <w:sz w:val="18"/>
              </w:rPr>
              <w:t>无附加量子化学特征</w:t>
            </w:r>
          </w:p>
        </w:tc>
        <w:tc>
          <w:tcPr>
            <w:tcW w:w="1300" w:type="dxa"/>
            <w:tcBorders>
              <w:top w:val="single" w:sz="4" w:space="0" w:color="auto"/>
              <w:left w:val="nil"/>
              <w:bottom w:val="nil"/>
              <w:right w:val="nil"/>
            </w:tcBorders>
            <w:tcMar>
              <w:top w:w="-1" w:type="dxa"/>
              <w:left w:w="-1" w:type="dxa"/>
              <w:bottom w:w="-1" w:type="dxa"/>
              <w:right w:w="-1" w:type="dxa"/>
            </w:tcMar>
            <w:vAlign w:val="center"/>
          </w:tcPr>
          <w:p w14:paraId="41439B56" w14:textId="77777777" w:rsidR="00793432" w:rsidRDefault="00000000">
            <w:pPr>
              <w:spacing w:line="288" w:lineRule="auto"/>
              <w:ind w:firstLine="360"/>
              <w:jc w:val="center"/>
            </w:pPr>
            <w:r>
              <w:rPr>
                <w:sz w:val="18"/>
              </w:rPr>
              <w:t>0.8256</w:t>
            </w:r>
          </w:p>
        </w:tc>
        <w:tc>
          <w:tcPr>
            <w:tcW w:w="1250" w:type="dxa"/>
            <w:tcBorders>
              <w:top w:val="single" w:sz="4" w:space="0" w:color="auto"/>
              <w:left w:val="nil"/>
              <w:bottom w:val="nil"/>
              <w:right w:val="nil"/>
            </w:tcBorders>
            <w:tcMar>
              <w:top w:w="-1" w:type="dxa"/>
              <w:left w:w="-1" w:type="dxa"/>
              <w:bottom w:w="-1" w:type="dxa"/>
              <w:right w:w="-1" w:type="dxa"/>
            </w:tcMar>
            <w:vAlign w:val="center"/>
          </w:tcPr>
          <w:p w14:paraId="59AB190B" w14:textId="77777777" w:rsidR="00793432" w:rsidRDefault="00000000">
            <w:pPr>
              <w:spacing w:line="288" w:lineRule="auto"/>
              <w:ind w:firstLine="360"/>
              <w:jc w:val="center"/>
            </w:pPr>
            <w:r>
              <w:rPr>
                <w:sz w:val="18"/>
              </w:rPr>
              <w:t>0.8786</w:t>
            </w:r>
          </w:p>
        </w:tc>
        <w:tc>
          <w:tcPr>
            <w:tcW w:w="1250" w:type="dxa"/>
            <w:tcBorders>
              <w:top w:val="single" w:sz="4" w:space="0" w:color="auto"/>
              <w:left w:val="nil"/>
              <w:bottom w:val="nil"/>
              <w:right w:val="nil"/>
            </w:tcBorders>
            <w:tcMar>
              <w:top w:w="-1" w:type="dxa"/>
              <w:left w:w="-1" w:type="dxa"/>
              <w:bottom w:w="-1" w:type="dxa"/>
              <w:right w:w="-1" w:type="dxa"/>
            </w:tcMar>
            <w:vAlign w:val="center"/>
          </w:tcPr>
          <w:p w14:paraId="13EC9CEE" w14:textId="77777777" w:rsidR="00793432" w:rsidRDefault="00000000">
            <w:pPr>
              <w:spacing w:line="288" w:lineRule="auto"/>
              <w:ind w:firstLine="360"/>
              <w:jc w:val="center"/>
            </w:pPr>
            <w:r>
              <w:rPr>
                <w:sz w:val="18"/>
              </w:rPr>
              <w:t>0.6940</w:t>
            </w:r>
          </w:p>
        </w:tc>
        <w:tc>
          <w:tcPr>
            <w:tcW w:w="1250" w:type="dxa"/>
            <w:tcBorders>
              <w:top w:val="single" w:sz="4" w:space="0" w:color="auto"/>
              <w:left w:val="nil"/>
              <w:bottom w:val="nil"/>
              <w:right w:val="nil"/>
            </w:tcBorders>
            <w:tcMar>
              <w:top w:w="-1" w:type="dxa"/>
              <w:left w:w="-1" w:type="dxa"/>
              <w:bottom w:w="-1" w:type="dxa"/>
              <w:right w:w="-1" w:type="dxa"/>
            </w:tcMar>
            <w:vAlign w:val="center"/>
          </w:tcPr>
          <w:p w14:paraId="774D1972" w14:textId="77777777" w:rsidR="00793432" w:rsidRDefault="00000000">
            <w:pPr>
              <w:spacing w:line="288" w:lineRule="auto"/>
              <w:ind w:firstLine="360"/>
              <w:jc w:val="center"/>
            </w:pPr>
            <w:r>
              <w:rPr>
                <w:sz w:val="18"/>
              </w:rPr>
              <w:t>0.7000</w:t>
            </w:r>
          </w:p>
        </w:tc>
        <w:tc>
          <w:tcPr>
            <w:tcW w:w="1250" w:type="dxa"/>
            <w:tcBorders>
              <w:top w:val="single" w:sz="4" w:space="0" w:color="auto"/>
              <w:left w:val="nil"/>
              <w:bottom w:val="nil"/>
              <w:right w:val="nil"/>
            </w:tcBorders>
            <w:tcMar>
              <w:top w:w="-1" w:type="dxa"/>
              <w:left w:w="-1" w:type="dxa"/>
              <w:bottom w:w="-1" w:type="dxa"/>
              <w:right w:w="-1" w:type="dxa"/>
            </w:tcMar>
            <w:vAlign w:val="center"/>
          </w:tcPr>
          <w:p w14:paraId="63D61316" w14:textId="77777777" w:rsidR="00793432" w:rsidRDefault="00000000">
            <w:pPr>
              <w:spacing w:line="288" w:lineRule="auto"/>
              <w:ind w:firstLineChars="0" w:firstLine="0"/>
              <w:jc w:val="center"/>
            </w:pPr>
            <w:r>
              <w:rPr>
                <w:sz w:val="18"/>
              </w:rPr>
              <w:t>结构基线</w:t>
            </w:r>
          </w:p>
        </w:tc>
      </w:tr>
      <w:tr w:rsidR="00793432" w14:paraId="4E5D8991" w14:textId="77777777">
        <w:trPr>
          <w:jc w:val="center"/>
        </w:trPr>
        <w:tc>
          <w:tcPr>
            <w:tcW w:w="2450" w:type="dxa"/>
            <w:tcBorders>
              <w:top w:val="nil"/>
              <w:left w:val="nil"/>
              <w:bottom w:val="nil"/>
              <w:right w:val="nil"/>
            </w:tcBorders>
            <w:tcMar>
              <w:top w:w="-1" w:type="dxa"/>
              <w:left w:w="-1" w:type="dxa"/>
              <w:bottom w:w="-1" w:type="dxa"/>
              <w:right w:w="-1" w:type="dxa"/>
            </w:tcMar>
            <w:vAlign w:val="center"/>
          </w:tcPr>
          <w:p w14:paraId="75F9A721" w14:textId="77777777" w:rsidR="00793432" w:rsidRDefault="00000000">
            <w:pPr>
              <w:spacing w:line="288" w:lineRule="auto"/>
              <w:ind w:firstLine="360"/>
              <w:jc w:val="center"/>
            </w:pPr>
            <w:r>
              <w:rPr>
                <w:sz w:val="18"/>
              </w:rPr>
              <w:t>仅原始</w:t>
            </w:r>
            <w:r>
              <w:rPr>
                <w:sz w:val="18"/>
              </w:rPr>
              <w:t>Gaussian</w:t>
            </w:r>
            <w:r>
              <w:rPr>
                <w:sz w:val="18"/>
              </w:rPr>
              <w:t>电荷</w:t>
            </w:r>
          </w:p>
        </w:tc>
        <w:tc>
          <w:tcPr>
            <w:tcW w:w="1300" w:type="dxa"/>
            <w:tcBorders>
              <w:top w:val="nil"/>
              <w:left w:val="nil"/>
              <w:bottom w:val="nil"/>
              <w:right w:val="nil"/>
            </w:tcBorders>
            <w:tcMar>
              <w:top w:w="-1" w:type="dxa"/>
              <w:left w:w="-1" w:type="dxa"/>
              <w:bottom w:w="-1" w:type="dxa"/>
              <w:right w:w="-1" w:type="dxa"/>
            </w:tcMar>
            <w:vAlign w:val="center"/>
          </w:tcPr>
          <w:p w14:paraId="058D8AE9" w14:textId="77777777" w:rsidR="00793432" w:rsidRDefault="00000000">
            <w:pPr>
              <w:spacing w:line="288" w:lineRule="auto"/>
              <w:ind w:firstLine="360"/>
              <w:jc w:val="center"/>
            </w:pPr>
            <w:r>
              <w:rPr>
                <w:sz w:val="18"/>
              </w:rPr>
              <w:t>0.8514</w:t>
            </w:r>
          </w:p>
        </w:tc>
        <w:tc>
          <w:tcPr>
            <w:tcW w:w="1250" w:type="dxa"/>
            <w:tcBorders>
              <w:top w:val="nil"/>
              <w:left w:val="nil"/>
              <w:bottom w:val="nil"/>
              <w:right w:val="nil"/>
            </w:tcBorders>
            <w:tcMar>
              <w:top w:w="-1" w:type="dxa"/>
              <w:left w:w="-1" w:type="dxa"/>
              <w:bottom w:w="-1" w:type="dxa"/>
              <w:right w:w="-1" w:type="dxa"/>
            </w:tcMar>
            <w:vAlign w:val="center"/>
          </w:tcPr>
          <w:p w14:paraId="2216D21B" w14:textId="77777777" w:rsidR="00793432" w:rsidRDefault="00000000">
            <w:pPr>
              <w:spacing w:line="288" w:lineRule="auto"/>
              <w:ind w:firstLine="360"/>
              <w:jc w:val="center"/>
            </w:pPr>
            <w:r>
              <w:rPr>
                <w:sz w:val="18"/>
              </w:rPr>
              <w:t>0.8786</w:t>
            </w:r>
          </w:p>
        </w:tc>
        <w:tc>
          <w:tcPr>
            <w:tcW w:w="1250" w:type="dxa"/>
            <w:tcBorders>
              <w:top w:val="nil"/>
              <w:left w:val="nil"/>
              <w:bottom w:val="nil"/>
              <w:right w:val="nil"/>
            </w:tcBorders>
            <w:tcMar>
              <w:top w:w="-1" w:type="dxa"/>
              <w:left w:w="-1" w:type="dxa"/>
              <w:bottom w:w="-1" w:type="dxa"/>
              <w:right w:w="-1" w:type="dxa"/>
            </w:tcMar>
            <w:vAlign w:val="center"/>
          </w:tcPr>
          <w:p w14:paraId="608717E5" w14:textId="77777777" w:rsidR="00793432" w:rsidRDefault="00000000">
            <w:pPr>
              <w:spacing w:line="288" w:lineRule="auto"/>
              <w:ind w:firstLine="360"/>
              <w:jc w:val="center"/>
            </w:pPr>
            <w:r>
              <w:rPr>
                <w:sz w:val="18"/>
              </w:rPr>
              <w:t>0.7032</w:t>
            </w:r>
          </w:p>
        </w:tc>
        <w:tc>
          <w:tcPr>
            <w:tcW w:w="1250" w:type="dxa"/>
            <w:tcBorders>
              <w:top w:val="nil"/>
              <w:left w:val="nil"/>
              <w:bottom w:val="nil"/>
              <w:right w:val="nil"/>
            </w:tcBorders>
            <w:tcMar>
              <w:top w:w="-1" w:type="dxa"/>
              <w:left w:w="-1" w:type="dxa"/>
              <w:bottom w:w="-1" w:type="dxa"/>
              <w:right w:w="-1" w:type="dxa"/>
            </w:tcMar>
            <w:vAlign w:val="center"/>
          </w:tcPr>
          <w:p w14:paraId="39AC8DF9" w14:textId="77777777" w:rsidR="00793432" w:rsidRDefault="00000000">
            <w:pPr>
              <w:spacing w:line="288" w:lineRule="auto"/>
              <w:ind w:firstLine="360"/>
              <w:jc w:val="center"/>
            </w:pPr>
            <w:r>
              <w:rPr>
                <w:sz w:val="18"/>
              </w:rPr>
              <w:t>0.6857</w:t>
            </w:r>
          </w:p>
        </w:tc>
        <w:tc>
          <w:tcPr>
            <w:tcW w:w="1250" w:type="dxa"/>
            <w:tcBorders>
              <w:top w:val="nil"/>
              <w:left w:val="nil"/>
              <w:bottom w:val="nil"/>
              <w:right w:val="nil"/>
            </w:tcBorders>
            <w:tcMar>
              <w:top w:w="-1" w:type="dxa"/>
              <w:left w:w="-1" w:type="dxa"/>
              <w:bottom w:w="-1" w:type="dxa"/>
              <w:right w:w="-1" w:type="dxa"/>
            </w:tcMar>
            <w:vAlign w:val="center"/>
          </w:tcPr>
          <w:p w14:paraId="2BCF64DF" w14:textId="77777777" w:rsidR="00793432" w:rsidRDefault="00000000">
            <w:pPr>
              <w:spacing w:line="288" w:lineRule="auto"/>
              <w:ind w:firstLineChars="0" w:firstLine="0"/>
              <w:jc w:val="center"/>
            </w:pPr>
            <w:r>
              <w:rPr>
                <w:sz w:val="18"/>
              </w:rPr>
              <w:t>原始电荷有增益</w:t>
            </w:r>
          </w:p>
        </w:tc>
      </w:tr>
      <w:tr w:rsidR="00793432" w14:paraId="36EEE837" w14:textId="77777777">
        <w:trPr>
          <w:jc w:val="center"/>
        </w:trPr>
        <w:tc>
          <w:tcPr>
            <w:tcW w:w="2450" w:type="dxa"/>
            <w:tcBorders>
              <w:top w:val="nil"/>
              <w:left w:val="nil"/>
              <w:bottom w:val="nil"/>
              <w:right w:val="nil"/>
            </w:tcBorders>
            <w:tcMar>
              <w:top w:w="-1" w:type="dxa"/>
              <w:left w:w="-1" w:type="dxa"/>
              <w:bottom w:w="-1" w:type="dxa"/>
              <w:right w:w="-1" w:type="dxa"/>
            </w:tcMar>
            <w:vAlign w:val="center"/>
          </w:tcPr>
          <w:p w14:paraId="75734F3F" w14:textId="77777777" w:rsidR="00793432" w:rsidRDefault="00000000">
            <w:pPr>
              <w:spacing w:line="288" w:lineRule="auto"/>
              <w:ind w:firstLine="360"/>
              <w:jc w:val="center"/>
            </w:pPr>
            <w:r>
              <w:rPr>
                <w:sz w:val="18"/>
              </w:rPr>
              <w:t>仅绝对</w:t>
            </w:r>
            <w:r>
              <w:rPr>
                <w:sz w:val="18"/>
              </w:rPr>
              <w:t>Gaussian</w:t>
            </w:r>
            <w:r>
              <w:rPr>
                <w:sz w:val="18"/>
              </w:rPr>
              <w:t>电荷</w:t>
            </w:r>
          </w:p>
        </w:tc>
        <w:tc>
          <w:tcPr>
            <w:tcW w:w="1300" w:type="dxa"/>
            <w:tcBorders>
              <w:top w:val="nil"/>
              <w:left w:val="nil"/>
              <w:bottom w:val="nil"/>
              <w:right w:val="nil"/>
            </w:tcBorders>
            <w:tcMar>
              <w:top w:w="-1" w:type="dxa"/>
              <w:left w:w="-1" w:type="dxa"/>
              <w:bottom w:w="-1" w:type="dxa"/>
              <w:right w:w="-1" w:type="dxa"/>
            </w:tcMar>
            <w:vAlign w:val="center"/>
          </w:tcPr>
          <w:p w14:paraId="63B42057" w14:textId="77777777" w:rsidR="00793432" w:rsidRDefault="00000000">
            <w:pPr>
              <w:spacing w:line="288" w:lineRule="auto"/>
              <w:ind w:firstLine="360"/>
              <w:jc w:val="center"/>
            </w:pPr>
            <w:r>
              <w:rPr>
                <w:sz w:val="18"/>
              </w:rPr>
              <w:t>0.8534</w:t>
            </w:r>
          </w:p>
        </w:tc>
        <w:tc>
          <w:tcPr>
            <w:tcW w:w="1250" w:type="dxa"/>
            <w:tcBorders>
              <w:top w:val="nil"/>
              <w:left w:val="nil"/>
              <w:bottom w:val="nil"/>
              <w:right w:val="nil"/>
            </w:tcBorders>
            <w:tcMar>
              <w:top w:w="-1" w:type="dxa"/>
              <w:left w:w="-1" w:type="dxa"/>
              <w:bottom w:w="-1" w:type="dxa"/>
              <w:right w:w="-1" w:type="dxa"/>
            </w:tcMar>
            <w:vAlign w:val="center"/>
          </w:tcPr>
          <w:p w14:paraId="10499E92" w14:textId="77777777" w:rsidR="00793432" w:rsidRDefault="00000000">
            <w:pPr>
              <w:spacing w:line="288" w:lineRule="auto"/>
              <w:ind w:firstLine="360"/>
              <w:jc w:val="center"/>
            </w:pPr>
            <w:r>
              <w:rPr>
                <w:sz w:val="18"/>
              </w:rPr>
              <w:t>0.8786</w:t>
            </w:r>
          </w:p>
        </w:tc>
        <w:tc>
          <w:tcPr>
            <w:tcW w:w="1250" w:type="dxa"/>
            <w:tcBorders>
              <w:top w:val="nil"/>
              <w:left w:val="nil"/>
              <w:bottom w:val="nil"/>
              <w:right w:val="nil"/>
            </w:tcBorders>
            <w:tcMar>
              <w:top w:w="-1" w:type="dxa"/>
              <w:left w:w="-1" w:type="dxa"/>
              <w:bottom w:w="-1" w:type="dxa"/>
              <w:right w:w="-1" w:type="dxa"/>
            </w:tcMar>
            <w:vAlign w:val="center"/>
          </w:tcPr>
          <w:p w14:paraId="73550F44" w14:textId="77777777" w:rsidR="00793432" w:rsidRDefault="00000000">
            <w:pPr>
              <w:spacing w:line="288" w:lineRule="auto"/>
              <w:ind w:firstLine="360"/>
              <w:jc w:val="center"/>
            </w:pPr>
            <w:r>
              <w:rPr>
                <w:sz w:val="18"/>
              </w:rPr>
              <w:t>0.6997</w:t>
            </w:r>
          </w:p>
        </w:tc>
        <w:tc>
          <w:tcPr>
            <w:tcW w:w="1250" w:type="dxa"/>
            <w:tcBorders>
              <w:top w:val="nil"/>
              <w:left w:val="nil"/>
              <w:bottom w:val="nil"/>
              <w:right w:val="nil"/>
            </w:tcBorders>
            <w:tcMar>
              <w:top w:w="-1" w:type="dxa"/>
              <w:left w:w="-1" w:type="dxa"/>
              <w:bottom w:w="-1" w:type="dxa"/>
              <w:right w:w="-1" w:type="dxa"/>
            </w:tcMar>
            <w:vAlign w:val="center"/>
          </w:tcPr>
          <w:p w14:paraId="2137A7CE" w14:textId="77777777" w:rsidR="00793432" w:rsidRDefault="00000000">
            <w:pPr>
              <w:spacing w:line="288" w:lineRule="auto"/>
              <w:ind w:firstLine="360"/>
              <w:jc w:val="center"/>
            </w:pPr>
            <w:r>
              <w:rPr>
                <w:sz w:val="18"/>
              </w:rPr>
              <w:t>0.6929</w:t>
            </w:r>
          </w:p>
        </w:tc>
        <w:tc>
          <w:tcPr>
            <w:tcW w:w="1250" w:type="dxa"/>
            <w:tcBorders>
              <w:top w:val="nil"/>
              <w:left w:val="nil"/>
              <w:bottom w:val="nil"/>
              <w:right w:val="nil"/>
            </w:tcBorders>
            <w:tcMar>
              <w:top w:w="-1" w:type="dxa"/>
              <w:left w:w="-1" w:type="dxa"/>
              <w:bottom w:w="-1" w:type="dxa"/>
              <w:right w:w="-1" w:type="dxa"/>
            </w:tcMar>
            <w:vAlign w:val="center"/>
          </w:tcPr>
          <w:p w14:paraId="6F2D464D" w14:textId="77777777" w:rsidR="00793432" w:rsidRDefault="00000000">
            <w:pPr>
              <w:spacing w:line="288" w:lineRule="auto"/>
              <w:ind w:firstLineChars="0" w:firstLine="0"/>
              <w:jc w:val="center"/>
            </w:pPr>
            <w:r>
              <w:rPr>
                <w:sz w:val="18"/>
              </w:rPr>
              <w:t>电荷偏离更适合树模型</w:t>
            </w:r>
          </w:p>
        </w:tc>
      </w:tr>
      <w:tr w:rsidR="00793432" w14:paraId="67C1EBA7" w14:textId="77777777">
        <w:trPr>
          <w:jc w:val="center"/>
        </w:trPr>
        <w:tc>
          <w:tcPr>
            <w:tcW w:w="2450" w:type="dxa"/>
            <w:tcBorders>
              <w:top w:val="nil"/>
              <w:left w:val="nil"/>
              <w:bottom w:val="nil"/>
              <w:right w:val="nil"/>
            </w:tcBorders>
            <w:tcMar>
              <w:top w:w="-1" w:type="dxa"/>
              <w:left w:w="-1" w:type="dxa"/>
              <w:bottom w:w="-1" w:type="dxa"/>
              <w:right w:w="-1" w:type="dxa"/>
            </w:tcMar>
            <w:vAlign w:val="center"/>
          </w:tcPr>
          <w:p w14:paraId="064F63B8" w14:textId="77777777" w:rsidR="00793432" w:rsidRDefault="00000000">
            <w:pPr>
              <w:spacing w:line="288" w:lineRule="auto"/>
              <w:ind w:firstLine="360"/>
              <w:jc w:val="center"/>
            </w:pPr>
            <w:r>
              <w:rPr>
                <w:sz w:val="18"/>
              </w:rPr>
              <w:t>仅酚类结构特征</w:t>
            </w:r>
          </w:p>
        </w:tc>
        <w:tc>
          <w:tcPr>
            <w:tcW w:w="1300" w:type="dxa"/>
            <w:tcBorders>
              <w:top w:val="nil"/>
              <w:left w:val="nil"/>
              <w:bottom w:val="nil"/>
              <w:right w:val="nil"/>
            </w:tcBorders>
            <w:tcMar>
              <w:top w:w="-1" w:type="dxa"/>
              <w:left w:w="-1" w:type="dxa"/>
              <w:bottom w:w="-1" w:type="dxa"/>
              <w:right w:w="-1" w:type="dxa"/>
            </w:tcMar>
            <w:vAlign w:val="center"/>
          </w:tcPr>
          <w:p w14:paraId="2EB1463D" w14:textId="77777777" w:rsidR="00793432" w:rsidRDefault="00000000">
            <w:pPr>
              <w:spacing w:line="288" w:lineRule="auto"/>
              <w:ind w:firstLine="360"/>
              <w:jc w:val="center"/>
            </w:pPr>
            <w:r>
              <w:rPr>
                <w:sz w:val="18"/>
              </w:rPr>
              <w:t>0.8396</w:t>
            </w:r>
          </w:p>
        </w:tc>
        <w:tc>
          <w:tcPr>
            <w:tcW w:w="1250" w:type="dxa"/>
            <w:tcBorders>
              <w:top w:val="nil"/>
              <w:left w:val="nil"/>
              <w:bottom w:val="nil"/>
              <w:right w:val="nil"/>
            </w:tcBorders>
            <w:tcMar>
              <w:top w:w="-1" w:type="dxa"/>
              <w:left w:w="-1" w:type="dxa"/>
              <w:bottom w:w="-1" w:type="dxa"/>
              <w:right w:w="-1" w:type="dxa"/>
            </w:tcMar>
            <w:vAlign w:val="center"/>
          </w:tcPr>
          <w:p w14:paraId="61E05512" w14:textId="77777777" w:rsidR="00793432" w:rsidRDefault="00000000">
            <w:pPr>
              <w:spacing w:line="288" w:lineRule="auto"/>
              <w:ind w:firstLine="360"/>
              <w:jc w:val="center"/>
            </w:pPr>
            <w:r>
              <w:rPr>
                <w:sz w:val="18"/>
              </w:rPr>
              <w:t>0.8857</w:t>
            </w:r>
          </w:p>
        </w:tc>
        <w:tc>
          <w:tcPr>
            <w:tcW w:w="1250" w:type="dxa"/>
            <w:tcBorders>
              <w:top w:val="nil"/>
              <w:left w:val="nil"/>
              <w:bottom w:val="nil"/>
              <w:right w:val="nil"/>
            </w:tcBorders>
            <w:tcMar>
              <w:top w:w="-1" w:type="dxa"/>
              <w:left w:w="-1" w:type="dxa"/>
              <w:bottom w:w="-1" w:type="dxa"/>
              <w:right w:w="-1" w:type="dxa"/>
            </w:tcMar>
            <w:vAlign w:val="center"/>
          </w:tcPr>
          <w:p w14:paraId="762C753E" w14:textId="77777777" w:rsidR="00793432" w:rsidRDefault="00000000">
            <w:pPr>
              <w:spacing w:line="288" w:lineRule="auto"/>
              <w:ind w:firstLine="360"/>
              <w:jc w:val="center"/>
            </w:pPr>
            <w:r>
              <w:rPr>
                <w:sz w:val="18"/>
              </w:rPr>
              <w:t>0.7231</w:t>
            </w:r>
          </w:p>
        </w:tc>
        <w:tc>
          <w:tcPr>
            <w:tcW w:w="1250" w:type="dxa"/>
            <w:tcBorders>
              <w:top w:val="nil"/>
              <w:left w:val="nil"/>
              <w:bottom w:val="nil"/>
              <w:right w:val="nil"/>
            </w:tcBorders>
            <w:tcMar>
              <w:top w:w="-1" w:type="dxa"/>
              <w:left w:w="-1" w:type="dxa"/>
              <w:bottom w:w="-1" w:type="dxa"/>
              <w:right w:w="-1" w:type="dxa"/>
            </w:tcMar>
            <w:vAlign w:val="center"/>
          </w:tcPr>
          <w:p w14:paraId="229AC655" w14:textId="77777777" w:rsidR="00793432" w:rsidRDefault="00000000">
            <w:pPr>
              <w:spacing w:line="288" w:lineRule="auto"/>
              <w:ind w:firstLine="360"/>
              <w:jc w:val="center"/>
            </w:pPr>
            <w:r>
              <w:rPr>
                <w:sz w:val="18"/>
              </w:rPr>
              <w:t>0.7071</w:t>
            </w:r>
          </w:p>
        </w:tc>
        <w:tc>
          <w:tcPr>
            <w:tcW w:w="1250" w:type="dxa"/>
            <w:tcBorders>
              <w:top w:val="nil"/>
              <w:left w:val="nil"/>
              <w:bottom w:val="nil"/>
              <w:right w:val="nil"/>
            </w:tcBorders>
            <w:tcMar>
              <w:top w:w="-1" w:type="dxa"/>
              <w:left w:w="-1" w:type="dxa"/>
              <w:bottom w:w="-1" w:type="dxa"/>
              <w:right w:w="-1" w:type="dxa"/>
            </w:tcMar>
            <w:vAlign w:val="center"/>
          </w:tcPr>
          <w:p w14:paraId="26B779A1" w14:textId="77777777" w:rsidR="00793432" w:rsidRDefault="00000000">
            <w:pPr>
              <w:spacing w:line="288" w:lineRule="auto"/>
              <w:ind w:firstLineChars="0" w:firstLine="0"/>
              <w:jc w:val="center"/>
            </w:pPr>
            <w:r>
              <w:rPr>
                <w:sz w:val="18"/>
              </w:rPr>
              <w:t>领域先验有效</w:t>
            </w:r>
          </w:p>
        </w:tc>
      </w:tr>
      <w:tr w:rsidR="00793432" w14:paraId="524075FF" w14:textId="77777777">
        <w:trPr>
          <w:jc w:val="center"/>
        </w:trPr>
        <w:tc>
          <w:tcPr>
            <w:tcW w:w="2450" w:type="dxa"/>
            <w:tcBorders>
              <w:top w:val="nil"/>
              <w:left w:val="nil"/>
              <w:bottom w:val="nil"/>
              <w:right w:val="nil"/>
            </w:tcBorders>
            <w:tcMar>
              <w:top w:w="-1" w:type="dxa"/>
              <w:left w:w="-1" w:type="dxa"/>
              <w:bottom w:w="-1" w:type="dxa"/>
              <w:right w:w="-1" w:type="dxa"/>
            </w:tcMar>
            <w:vAlign w:val="center"/>
          </w:tcPr>
          <w:p w14:paraId="157A6187" w14:textId="77777777" w:rsidR="00793432" w:rsidRDefault="00000000">
            <w:pPr>
              <w:spacing w:line="288" w:lineRule="auto"/>
              <w:ind w:firstLine="360"/>
              <w:jc w:val="center"/>
            </w:pPr>
            <w:r>
              <w:rPr>
                <w:sz w:val="18"/>
              </w:rPr>
              <w:t>仅</w:t>
            </w:r>
            <w:r>
              <w:rPr>
                <w:sz w:val="18"/>
              </w:rPr>
              <w:t>Fukui</w:t>
            </w:r>
            <w:r>
              <w:rPr>
                <w:sz w:val="18"/>
              </w:rPr>
              <w:t>特征</w:t>
            </w:r>
          </w:p>
        </w:tc>
        <w:tc>
          <w:tcPr>
            <w:tcW w:w="1300" w:type="dxa"/>
            <w:tcBorders>
              <w:top w:val="nil"/>
              <w:left w:val="nil"/>
              <w:bottom w:val="nil"/>
              <w:right w:val="nil"/>
            </w:tcBorders>
            <w:tcMar>
              <w:top w:w="-1" w:type="dxa"/>
              <w:left w:w="-1" w:type="dxa"/>
              <w:bottom w:w="-1" w:type="dxa"/>
              <w:right w:w="-1" w:type="dxa"/>
            </w:tcMar>
            <w:vAlign w:val="center"/>
          </w:tcPr>
          <w:p w14:paraId="12FC3530" w14:textId="77777777" w:rsidR="00793432" w:rsidRDefault="00000000">
            <w:pPr>
              <w:spacing w:line="288" w:lineRule="auto"/>
              <w:ind w:firstLine="360"/>
              <w:jc w:val="center"/>
            </w:pPr>
            <w:r>
              <w:rPr>
                <w:sz w:val="18"/>
              </w:rPr>
              <w:t>0.8314</w:t>
            </w:r>
          </w:p>
        </w:tc>
        <w:tc>
          <w:tcPr>
            <w:tcW w:w="1250" w:type="dxa"/>
            <w:tcBorders>
              <w:top w:val="nil"/>
              <w:left w:val="nil"/>
              <w:bottom w:val="nil"/>
              <w:right w:val="nil"/>
            </w:tcBorders>
            <w:tcMar>
              <w:top w:w="-1" w:type="dxa"/>
              <w:left w:w="-1" w:type="dxa"/>
              <w:bottom w:w="-1" w:type="dxa"/>
              <w:right w:w="-1" w:type="dxa"/>
            </w:tcMar>
            <w:vAlign w:val="center"/>
          </w:tcPr>
          <w:p w14:paraId="70912E4D" w14:textId="77777777" w:rsidR="00793432" w:rsidRDefault="00000000">
            <w:pPr>
              <w:spacing w:line="288" w:lineRule="auto"/>
              <w:ind w:firstLine="360"/>
              <w:jc w:val="center"/>
            </w:pPr>
            <w:r>
              <w:rPr>
                <w:sz w:val="18"/>
              </w:rPr>
              <w:t>0.8857</w:t>
            </w:r>
          </w:p>
        </w:tc>
        <w:tc>
          <w:tcPr>
            <w:tcW w:w="1250" w:type="dxa"/>
            <w:tcBorders>
              <w:top w:val="nil"/>
              <w:left w:val="nil"/>
              <w:bottom w:val="nil"/>
              <w:right w:val="nil"/>
            </w:tcBorders>
            <w:tcMar>
              <w:top w:w="-1" w:type="dxa"/>
              <w:left w:w="-1" w:type="dxa"/>
              <w:bottom w:w="-1" w:type="dxa"/>
              <w:right w:w="-1" w:type="dxa"/>
            </w:tcMar>
            <w:vAlign w:val="center"/>
          </w:tcPr>
          <w:p w14:paraId="0CAA4533" w14:textId="77777777" w:rsidR="00793432" w:rsidRDefault="00000000">
            <w:pPr>
              <w:spacing w:line="288" w:lineRule="auto"/>
              <w:ind w:firstLine="360"/>
              <w:jc w:val="center"/>
            </w:pPr>
            <w:r>
              <w:rPr>
                <w:sz w:val="18"/>
              </w:rPr>
              <w:t>0.7131</w:t>
            </w:r>
          </w:p>
        </w:tc>
        <w:tc>
          <w:tcPr>
            <w:tcW w:w="1250" w:type="dxa"/>
            <w:tcBorders>
              <w:top w:val="nil"/>
              <w:left w:val="nil"/>
              <w:bottom w:val="nil"/>
              <w:right w:val="nil"/>
            </w:tcBorders>
            <w:tcMar>
              <w:top w:w="-1" w:type="dxa"/>
              <w:left w:w="-1" w:type="dxa"/>
              <w:bottom w:w="-1" w:type="dxa"/>
              <w:right w:w="-1" w:type="dxa"/>
            </w:tcMar>
            <w:vAlign w:val="center"/>
          </w:tcPr>
          <w:p w14:paraId="7B2D6780" w14:textId="77777777" w:rsidR="00793432" w:rsidRDefault="00000000">
            <w:pPr>
              <w:spacing w:line="288" w:lineRule="auto"/>
              <w:ind w:firstLine="360"/>
              <w:jc w:val="center"/>
            </w:pPr>
            <w:r>
              <w:rPr>
                <w:sz w:val="18"/>
              </w:rPr>
              <w:t>0.6786</w:t>
            </w:r>
          </w:p>
        </w:tc>
        <w:tc>
          <w:tcPr>
            <w:tcW w:w="1250" w:type="dxa"/>
            <w:tcBorders>
              <w:top w:val="nil"/>
              <w:left w:val="nil"/>
              <w:bottom w:val="nil"/>
              <w:right w:val="nil"/>
            </w:tcBorders>
            <w:tcMar>
              <w:top w:w="-1" w:type="dxa"/>
              <w:left w:w="-1" w:type="dxa"/>
              <w:bottom w:w="-1" w:type="dxa"/>
              <w:right w:w="-1" w:type="dxa"/>
            </w:tcMar>
            <w:vAlign w:val="center"/>
          </w:tcPr>
          <w:p w14:paraId="17E89FA0" w14:textId="77777777" w:rsidR="00793432" w:rsidRDefault="00000000">
            <w:pPr>
              <w:spacing w:line="288" w:lineRule="auto"/>
              <w:ind w:firstLineChars="0" w:firstLine="0"/>
              <w:jc w:val="center"/>
            </w:pPr>
            <w:r>
              <w:rPr>
                <w:sz w:val="18"/>
              </w:rPr>
              <w:t>反应性信号有限</w:t>
            </w:r>
          </w:p>
        </w:tc>
      </w:tr>
      <w:tr w:rsidR="00793432" w14:paraId="0F619281" w14:textId="77777777">
        <w:trPr>
          <w:jc w:val="center"/>
        </w:trPr>
        <w:tc>
          <w:tcPr>
            <w:tcW w:w="2450" w:type="dxa"/>
            <w:tcBorders>
              <w:top w:val="nil"/>
              <w:left w:val="nil"/>
              <w:bottom w:val="nil"/>
              <w:right w:val="nil"/>
            </w:tcBorders>
            <w:tcMar>
              <w:top w:w="-1" w:type="dxa"/>
              <w:left w:w="-1" w:type="dxa"/>
              <w:bottom w:w="-1" w:type="dxa"/>
              <w:right w:w="-1" w:type="dxa"/>
            </w:tcMar>
            <w:vAlign w:val="center"/>
          </w:tcPr>
          <w:p w14:paraId="0DFB8C4F" w14:textId="77777777" w:rsidR="00793432" w:rsidRDefault="00000000">
            <w:pPr>
              <w:spacing w:line="288" w:lineRule="auto"/>
              <w:ind w:firstLine="360"/>
              <w:jc w:val="center"/>
            </w:pPr>
            <w:r>
              <w:rPr>
                <w:sz w:val="18"/>
              </w:rPr>
              <w:t>仅</w:t>
            </w:r>
            <w:r>
              <w:rPr>
                <w:sz w:val="18"/>
              </w:rPr>
              <w:t>NICS</w:t>
            </w:r>
            <w:r>
              <w:rPr>
                <w:sz w:val="18"/>
              </w:rPr>
              <w:t>特征</w:t>
            </w:r>
          </w:p>
        </w:tc>
        <w:tc>
          <w:tcPr>
            <w:tcW w:w="1300" w:type="dxa"/>
            <w:tcBorders>
              <w:top w:val="nil"/>
              <w:left w:val="nil"/>
              <w:bottom w:val="nil"/>
              <w:right w:val="nil"/>
            </w:tcBorders>
            <w:tcMar>
              <w:top w:w="-1" w:type="dxa"/>
              <w:left w:w="-1" w:type="dxa"/>
              <w:bottom w:w="-1" w:type="dxa"/>
              <w:right w:w="-1" w:type="dxa"/>
            </w:tcMar>
            <w:vAlign w:val="center"/>
          </w:tcPr>
          <w:p w14:paraId="06426FEB" w14:textId="77777777" w:rsidR="00793432" w:rsidRDefault="00000000">
            <w:pPr>
              <w:spacing w:line="288" w:lineRule="auto"/>
              <w:ind w:firstLine="360"/>
              <w:jc w:val="center"/>
            </w:pPr>
            <w:r>
              <w:rPr>
                <w:sz w:val="18"/>
              </w:rPr>
              <w:t>0.8413</w:t>
            </w:r>
          </w:p>
        </w:tc>
        <w:tc>
          <w:tcPr>
            <w:tcW w:w="1250" w:type="dxa"/>
            <w:tcBorders>
              <w:top w:val="nil"/>
              <w:left w:val="nil"/>
              <w:bottom w:val="nil"/>
              <w:right w:val="nil"/>
            </w:tcBorders>
            <w:tcMar>
              <w:top w:w="-1" w:type="dxa"/>
              <w:left w:w="-1" w:type="dxa"/>
              <w:bottom w:w="-1" w:type="dxa"/>
              <w:right w:w="-1" w:type="dxa"/>
            </w:tcMar>
            <w:vAlign w:val="center"/>
          </w:tcPr>
          <w:p w14:paraId="3DCC4D35" w14:textId="77777777" w:rsidR="00793432" w:rsidRDefault="00000000">
            <w:pPr>
              <w:spacing w:line="288" w:lineRule="auto"/>
              <w:ind w:firstLine="360"/>
              <w:jc w:val="center"/>
            </w:pPr>
            <w:r>
              <w:rPr>
                <w:sz w:val="18"/>
              </w:rPr>
              <w:t>0.8929</w:t>
            </w:r>
          </w:p>
        </w:tc>
        <w:tc>
          <w:tcPr>
            <w:tcW w:w="1250" w:type="dxa"/>
            <w:tcBorders>
              <w:top w:val="nil"/>
              <w:left w:val="nil"/>
              <w:bottom w:val="nil"/>
              <w:right w:val="nil"/>
            </w:tcBorders>
            <w:tcMar>
              <w:top w:w="-1" w:type="dxa"/>
              <w:left w:w="-1" w:type="dxa"/>
              <w:bottom w:w="-1" w:type="dxa"/>
              <w:right w:w="-1" w:type="dxa"/>
            </w:tcMar>
            <w:vAlign w:val="center"/>
          </w:tcPr>
          <w:p w14:paraId="61BAC4FE" w14:textId="77777777" w:rsidR="00793432" w:rsidRDefault="00000000">
            <w:pPr>
              <w:spacing w:line="288" w:lineRule="auto"/>
              <w:ind w:firstLine="360"/>
              <w:jc w:val="center"/>
            </w:pPr>
            <w:r>
              <w:rPr>
                <w:sz w:val="18"/>
              </w:rPr>
              <w:t>0.7074</w:t>
            </w:r>
          </w:p>
        </w:tc>
        <w:tc>
          <w:tcPr>
            <w:tcW w:w="1250" w:type="dxa"/>
            <w:tcBorders>
              <w:top w:val="nil"/>
              <w:left w:val="nil"/>
              <w:bottom w:val="nil"/>
              <w:right w:val="nil"/>
            </w:tcBorders>
            <w:tcMar>
              <w:top w:w="-1" w:type="dxa"/>
              <w:left w:w="-1" w:type="dxa"/>
              <w:bottom w:w="-1" w:type="dxa"/>
              <w:right w:w="-1" w:type="dxa"/>
            </w:tcMar>
            <w:vAlign w:val="center"/>
          </w:tcPr>
          <w:p w14:paraId="55241CD6" w14:textId="77777777" w:rsidR="00793432" w:rsidRDefault="00000000">
            <w:pPr>
              <w:spacing w:line="288" w:lineRule="auto"/>
              <w:ind w:firstLine="360"/>
              <w:jc w:val="center"/>
            </w:pPr>
            <w:r>
              <w:rPr>
                <w:sz w:val="18"/>
              </w:rPr>
              <w:t>0.6786</w:t>
            </w:r>
          </w:p>
        </w:tc>
        <w:tc>
          <w:tcPr>
            <w:tcW w:w="1250" w:type="dxa"/>
            <w:tcBorders>
              <w:top w:val="nil"/>
              <w:left w:val="nil"/>
              <w:bottom w:val="nil"/>
              <w:right w:val="nil"/>
            </w:tcBorders>
            <w:tcMar>
              <w:top w:w="-1" w:type="dxa"/>
              <w:left w:w="-1" w:type="dxa"/>
              <w:bottom w:w="-1" w:type="dxa"/>
              <w:right w:w="-1" w:type="dxa"/>
            </w:tcMar>
            <w:vAlign w:val="center"/>
          </w:tcPr>
          <w:p w14:paraId="65733267" w14:textId="77777777" w:rsidR="00793432" w:rsidRDefault="00000000">
            <w:pPr>
              <w:spacing w:line="288" w:lineRule="auto"/>
              <w:ind w:firstLineChars="0" w:firstLine="0"/>
              <w:jc w:val="center"/>
            </w:pPr>
            <w:r>
              <w:rPr>
                <w:sz w:val="18"/>
              </w:rPr>
              <w:t>芳香性信号存在</w:t>
            </w:r>
          </w:p>
        </w:tc>
      </w:tr>
      <w:tr w:rsidR="00793432" w14:paraId="2708ACC1" w14:textId="77777777">
        <w:trPr>
          <w:jc w:val="center"/>
        </w:trPr>
        <w:tc>
          <w:tcPr>
            <w:tcW w:w="2450" w:type="dxa"/>
            <w:tcBorders>
              <w:top w:val="nil"/>
              <w:left w:val="nil"/>
              <w:bottom w:val="nil"/>
              <w:right w:val="nil"/>
            </w:tcBorders>
            <w:tcMar>
              <w:top w:w="-1" w:type="dxa"/>
              <w:left w:w="-1" w:type="dxa"/>
              <w:bottom w:w="-1" w:type="dxa"/>
              <w:right w:w="-1" w:type="dxa"/>
            </w:tcMar>
            <w:vAlign w:val="center"/>
          </w:tcPr>
          <w:p w14:paraId="2D3E26B9" w14:textId="77777777" w:rsidR="00793432" w:rsidRDefault="00000000">
            <w:pPr>
              <w:spacing w:line="288" w:lineRule="auto"/>
              <w:ind w:firstLine="360"/>
              <w:jc w:val="center"/>
            </w:pPr>
            <w:r>
              <w:rPr>
                <w:sz w:val="18"/>
              </w:rPr>
              <w:t>酚类结构</w:t>
            </w:r>
            <w:r>
              <w:rPr>
                <w:sz w:val="18"/>
              </w:rPr>
              <w:t>+</w:t>
            </w:r>
            <w:r>
              <w:rPr>
                <w:sz w:val="18"/>
              </w:rPr>
              <w:t>绝对电荷</w:t>
            </w:r>
          </w:p>
        </w:tc>
        <w:tc>
          <w:tcPr>
            <w:tcW w:w="1300" w:type="dxa"/>
            <w:tcBorders>
              <w:top w:val="nil"/>
              <w:left w:val="nil"/>
              <w:bottom w:val="nil"/>
              <w:right w:val="nil"/>
            </w:tcBorders>
            <w:tcMar>
              <w:top w:w="-1" w:type="dxa"/>
              <w:left w:w="-1" w:type="dxa"/>
              <w:bottom w:w="-1" w:type="dxa"/>
              <w:right w:w="-1" w:type="dxa"/>
            </w:tcMar>
            <w:vAlign w:val="center"/>
          </w:tcPr>
          <w:p w14:paraId="4460421A" w14:textId="77777777" w:rsidR="00793432" w:rsidRDefault="00000000">
            <w:pPr>
              <w:spacing w:line="288" w:lineRule="auto"/>
              <w:ind w:firstLine="360"/>
              <w:jc w:val="center"/>
            </w:pPr>
            <w:r>
              <w:rPr>
                <w:sz w:val="18"/>
              </w:rPr>
              <w:t>0.8585</w:t>
            </w:r>
          </w:p>
        </w:tc>
        <w:tc>
          <w:tcPr>
            <w:tcW w:w="1250" w:type="dxa"/>
            <w:tcBorders>
              <w:top w:val="nil"/>
              <w:left w:val="nil"/>
              <w:bottom w:val="nil"/>
              <w:right w:val="nil"/>
            </w:tcBorders>
            <w:tcMar>
              <w:top w:w="-1" w:type="dxa"/>
              <w:left w:w="-1" w:type="dxa"/>
              <w:bottom w:w="-1" w:type="dxa"/>
              <w:right w:w="-1" w:type="dxa"/>
            </w:tcMar>
            <w:vAlign w:val="center"/>
          </w:tcPr>
          <w:p w14:paraId="3BD4B072" w14:textId="77777777" w:rsidR="00793432" w:rsidRDefault="00000000">
            <w:pPr>
              <w:spacing w:line="288" w:lineRule="auto"/>
              <w:ind w:firstLine="360"/>
              <w:jc w:val="center"/>
            </w:pPr>
            <w:r>
              <w:rPr>
                <w:sz w:val="18"/>
              </w:rPr>
              <w:t>0.8929</w:t>
            </w:r>
          </w:p>
        </w:tc>
        <w:tc>
          <w:tcPr>
            <w:tcW w:w="1250" w:type="dxa"/>
            <w:tcBorders>
              <w:top w:val="nil"/>
              <w:left w:val="nil"/>
              <w:bottom w:val="nil"/>
              <w:right w:val="nil"/>
            </w:tcBorders>
            <w:tcMar>
              <w:top w:w="-1" w:type="dxa"/>
              <w:left w:w="-1" w:type="dxa"/>
              <w:bottom w:w="-1" w:type="dxa"/>
              <w:right w:w="-1" w:type="dxa"/>
            </w:tcMar>
            <w:vAlign w:val="center"/>
          </w:tcPr>
          <w:p w14:paraId="6981C673" w14:textId="77777777" w:rsidR="00793432" w:rsidRDefault="00000000">
            <w:pPr>
              <w:spacing w:line="288" w:lineRule="auto"/>
              <w:ind w:firstLine="360"/>
              <w:jc w:val="center"/>
            </w:pPr>
            <w:r>
              <w:rPr>
                <w:sz w:val="18"/>
              </w:rPr>
              <w:t>0.7201</w:t>
            </w:r>
          </w:p>
        </w:tc>
        <w:tc>
          <w:tcPr>
            <w:tcW w:w="1250" w:type="dxa"/>
            <w:tcBorders>
              <w:top w:val="nil"/>
              <w:left w:val="nil"/>
              <w:bottom w:val="nil"/>
              <w:right w:val="nil"/>
            </w:tcBorders>
            <w:tcMar>
              <w:top w:w="-1" w:type="dxa"/>
              <w:left w:w="-1" w:type="dxa"/>
              <w:bottom w:w="-1" w:type="dxa"/>
              <w:right w:w="-1" w:type="dxa"/>
            </w:tcMar>
            <w:vAlign w:val="center"/>
          </w:tcPr>
          <w:p w14:paraId="32A71D18" w14:textId="77777777" w:rsidR="00793432" w:rsidRDefault="00000000">
            <w:pPr>
              <w:spacing w:line="288" w:lineRule="auto"/>
              <w:ind w:firstLine="360"/>
              <w:jc w:val="center"/>
            </w:pPr>
            <w:r>
              <w:rPr>
                <w:sz w:val="18"/>
              </w:rPr>
              <w:t>0.6714</w:t>
            </w:r>
          </w:p>
        </w:tc>
        <w:tc>
          <w:tcPr>
            <w:tcW w:w="1250" w:type="dxa"/>
            <w:tcBorders>
              <w:top w:val="nil"/>
              <w:left w:val="nil"/>
              <w:bottom w:val="nil"/>
              <w:right w:val="nil"/>
            </w:tcBorders>
            <w:tcMar>
              <w:top w:w="-1" w:type="dxa"/>
              <w:left w:w="-1" w:type="dxa"/>
              <w:bottom w:w="-1" w:type="dxa"/>
              <w:right w:w="-1" w:type="dxa"/>
            </w:tcMar>
            <w:vAlign w:val="center"/>
          </w:tcPr>
          <w:p w14:paraId="5013EA19" w14:textId="77777777" w:rsidR="00793432" w:rsidRDefault="00000000">
            <w:pPr>
              <w:spacing w:line="288" w:lineRule="auto"/>
              <w:ind w:firstLineChars="0" w:firstLine="0"/>
              <w:jc w:val="center"/>
            </w:pPr>
            <w:r>
              <w:rPr>
                <w:sz w:val="18"/>
              </w:rPr>
              <w:t>Random Forest</w:t>
            </w:r>
            <w:r>
              <w:rPr>
                <w:sz w:val="18"/>
              </w:rPr>
              <w:t>最稳主结果</w:t>
            </w:r>
          </w:p>
        </w:tc>
      </w:tr>
      <w:tr w:rsidR="00793432" w14:paraId="40067A77" w14:textId="77777777">
        <w:trPr>
          <w:jc w:val="center"/>
        </w:trPr>
        <w:tc>
          <w:tcPr>
            <w:tcW w:w="2450" w:type="dxa"/>
            <w:tcBorders>
              <w:top w:val="nil"/>
              <w:left w:val="nil"/>
              <w:bottom w:val="nil"/>
              <w:right w:val="nil"/>
            </w:tcBorders>
            <w:tcMar>
              <w:top w:w="-1" w:type="dxa"/>
              <w:left w:w="-1" w:type="dxa"/>
              <w:bottom w:w="-1" w:type="dxa"/>
              <w:right w:w="-1" w:type="dxa"/>
            </w:tcMar>
            <w:vAlign w:val="center"/>
          </w:tcPr>
          <w:p w14:paraId="12D842A1" w14:textId="77777777" w:rsidR="00793432" w:rsidRDefault="00000000">
            <w:pPr>
              <w:spacing w:line="288" w:lineRule="auto"/>
              <w:ind w:firstLine="360"/>
              <w:jc w:val="center"/>
            </w:pPr>
            <w:r>
              <w:rPr>
                <w:sz w:val="18"/>
              </w:rPr>
              <w:t>酚类结构</w:t>
            </w:r>
            <w:r>
              <w:rPr>
                <w:sz w:val="18"/>
              </w:rPr>
              <w:t>+Fukui</w:t>
            </w:r>
          </w:p>
        </w:tc>
        <w:tc>
          <w:tcPr>
            <w:tcW w:w="1300" w:type="dxa"/>
            <w:tcBorders>
              <w:top w:val="nil"/>
              <w:left w:val="nil"/>
              <w:bottom w:val="nil"/>
              <w:right w:val="nil"/>
            </w:tcBorders>
            <w:tcMar>
              <w:top w:w="-1" w:type="dxa"/>
              <w:left w:w="-1" w:type="dxa"/>
              <w:bottom w:w="-1" w:type="dxa"/>
              <w:right w:w="-1" w:type="dxa"/>
            </w:tcMar>
            <w:vAlign w:val="center"/>
          </w:tcPr>
          <w:p w14:paraId="0D80DE27" w14:textId="77777777" w:rsidR="00793432" w:rsidRDefault="00000000">
            <w:pPr>
              <w:spacing w:line="288" w:lineRule="auto"/>
              <w:ind w:firstLine="360"/>
              <w:jc w:val="center"/>
            </w:pPr>
            <w:r>
              <w:rPr>
                <w:sz w:val="18"/>
              </w:rPr>
              <w:t>0.8370</w:t>
            </w:r>
          </w:p>
        </w:tc>
        <w:tc>
          <w:tcPr>
            <w:tcW w:w="1250" w:type="dxa"/>
            <w:tcBorders>
              <w:top w:val="nil"/>
              <w:left w:val="nil"/>
              <w:bottom w:val="nil"/>
              <w:right w:val="nil"/>
            </w:tcBorders>
            <w:tcMar>
              <w:top w:w="-1" w:type="dxa"/>
              <w:left w:w="-1" w:type="dxa"/>
              <w:bottom w:w="-1" w:type="dxa"/>
              <w:right w:w="-1" w:type="dxa"/>
            </w:tcMar>
            <w:vAlign w:val="center"/>
          </w:tcPr>
          <w:p w14:paraId="23D73278" w14:textId="77777777" w:rsidR="00793432" w:rsidRDefault="00000000">
            <w:pPr>
              <w:spacing w:line="288" w:lineRule="auto"/>
              <w:ind w:firstLine="360"/>
              <w:jc w:val="center"/>
            </w:pPr>
            <w:r>
              <w:rPr>
                <w:sz w:val="18"/>
              </w:rPr>
              <w:t>0.8857</w:t>
            </w:r>
          </w:p>
        </w:tc>
        <w:tc>
          <w:tcPr>
            <w:tcW w:w="1250" w:type="dxa"/>
            <w:tcBorders>
              <w:top w:val="nil"/>
              <w:left w:val="nil"/>
              <w:bottom w:val="nil"/>
              <w:right w:val="nil"/>
            </w:tcBorders>
            <w:tcMar>
              <w:top w:w="-1" w:type="dxa"/>
              <w:left w:w="-1" w:type="dxa"/>
              <w:bottom w:w="-1" w:type="dxa"/>
              <w:right w:w="-1" w:type="dxa"/>
            </w:tcMar>
            <w:vAlign w:val="center"/>
          </w:tcPr>
          <w:p w14:paraId="11B7F732" w14:textId="77777777" w:rsidR="00793432" w:rsidRDefault="00000000">
            <w:pPr>
              <w:spacing w:line="288" w:lineRule="auto"/>
              <w:ind w:firstLine="360"/>
              <w:jc w:val="center"/>
            </w:pPr>
            <w:r>
              <w:rPr>
                <w:sz w:val="18"/>
              </w:rPr>
              <w:t>0.7300</w:t>
            </w:r>
          </w:p>
        </w:tc>
        <w:tc>
          <w:tcPr>
            <w:tcW w:w="1250" w:type="dxa"/>
            <w:tcBorders>
              <w:top w:val="nil"/>
              <w:left w:val="nil"/>
              <w:bottom w:val="nil"/>
              <w:right w:val="nil"/>
            </w:tcBorders>
            <w:tcMar>
              <w:top w:w="-1" w:type="dxa"/>
              <w:left w:w="-1" w:type="dxa"/>
              <w:bottom w:w="-1" w:type="dxa"/>
              <w:right w:w="-1" w:type="dxa"/>
            </w:tcMar>
            <w:vAlign w:val="center"/>
          </w:tcPr>
          <w:p w14:paraId="5992E538" w14:textId="77777777" w:rsidR="00793432" w:rsidRDefault="00000000">
            <w:pPr>
              <w:spacing w:line="288" w:lineRule="auto"/>
              <w:ind w:firstLine="360"/>
              <w:jc w:val="center"/>
            </w:pPr>
            <w:r>
              <w:rPr>
                <w:sz w:val="18"/>
              </w:rPr>
              <w:t>0.7000</w:t>
            </w:r>
          </w:p>
        </w:tc>
        <w:tc>
          <w:tcPr>
            <w:tcW w:w="1250" w:type="dxa"/>
            <w:tcBorders>
              <w:top w:val="nil"/>
              <w:left w:val="nil"/>
              <w:bottom w:val="nil"/>
              <w:right w:val="nil"/>
            </w:tcBorders>
            <w:tcMar>
              <w:top w:w="-1" w:type="dxa"/>
              <w:left w:w="-1" w:type="dxa"/>
              <w:bottom w:w="-1" w:type="dxa"/>
              <w:right w:w="-1" w:type="dxa"/>
            </w:tcMar>
            <w:vAlign w:val="center"/>
          </w:tcPr>
          <w:p w14:paraId="73708E0D" w14:textId="77777777" w:rsidR="00793432" w:rsidRDefault="00000000">
            <w:pPr>
              <w:spacing w:line="288" w:lineRule="auto"/>
              <w:ind w:firstLineChars="0" w:firstLine="0"/>
              <w:jc w:val="center"/>
            </w:pPr>
            <w:proofErr w:type="spellStart"/>
            <w:r>
              <w:rPr>
                <w:sz w:val="18"/>
              </w:rPr>
              <w:t>Chemprop</w:t>
            </w:r>
            <w:proofErr w:type="spellEnd"/>
            <w:r>
              <w:rPr>
                <w:sz w:val="18"/>
              </w:rPr>
              <w:t>排序较优</w:t>
            </w:r>
          </w:p>
        </w:tc>
      </w:tr>
      <w:tr w:rsidR="00793432" w14:paraId="6992ADFF" w14:textId="77777777">
        <w:trPr>
          <w:jc w:val="center"/>
        </w:trPr>
        <w:tc>
          <w:tcPr>
            <w:tcW w:w="2450" w:type="dxa"/>
            <w:tcBorders>
              <w:top w:val="nil"/>
              <w:left w:val="nil"/>
              <w:bottom w:val="nil"/>
              <w:right w:val="nil"/>
            </w:tcBorders>
            <w:tcMar>
              <w:top w:w="-1" w:type="dxa"/>
              <w:left w:w="-1" w:type="dxa"/>
              <w:bottom w:w="-1" w:type="dxa"/>
              <w:right w:w="-1" w:type="dxa"/>
            </w:tcMar>
            <w:vAlign w:val="center"/>
          </w:tcPr>
          <w:p w14:paraId="5394F6E1" w14:textId="77777777" w:rsidR="00793432" w:rsidRDefault="00000000">
            <w:pPr>
              <w:spacing w:line="288" w:lineRule="auto"/>
              <w:ind w:firstLine="360"/>
              <w:jc w:val="center"/>
            </w:pPr>
            <w:r>
              <w:rPr>
                <w:sz w:val="18"/>
              </w:rPr>
              <w:t>酚类结构</w:t>
            </w:r>
            <w:r>
              <w:rPr>
                <w:sz w:val="18"/>
              </w:rPr>
              <w:t>+NICS</w:t>
            </w:r>
          </w:p>
        </w:tc>
        <w:tc>
          <w:tcPr>
            <w:tcW w:w="1300" w:type="dxa"/>
            <w:tcBorders>
              <w:top w:val="nil"/>
              <w:left w:val="nil"/>
              <w:bottom w:val="nil"/>
              <w:right w:val="nil"/>
            </w:tcBorders>
            <w:tcMar>
              <w:top w:w="-1" w:type="dxa"/>
              <w:left w:w="-1" w:type="dxa"/>
              <w:bottom w:w="-1" w:type="dxa"/>
              <w:right w:w="-1" w:type="dxa"/>
            </w:tcMar>
            <w:vAlign w:val="center"/>
          </w:tcPr>
          <w:p w14:paraId="14CFF2CD" w14:textId="77777777" w:rsidR="00793432" w:rsidRDefault="00000000">
            <w:pPr>
              <w:spacing w:line="288" w:lineRule="auto"/>
              <w:ind w:firstLine="360"/>
              <w:jc w:val="center"/>
            </w:pPr>
            <w:r>
              <w:rPr>
                <w:sz w:val="18"/>
              </w:rPr>
              <w:t>0.8553</w:t>
            </w:r>
          </w:p>
        </w:tc>
        <w:tc>
          <w:tcPr>
            <w:tcW w:w="1250" w:type="dxa"/>
            <w:tcBorders>
              <w:top w:val="nil"/>
              <w:left w:val="nil"/>
              <w:bottom w:val="nil"/>
              <w:right w:val="nil"/>
            </w:tcBorders>
            <w:tcMar>
              <w:top w:w="-1" w:type="dxa"/>
              <w:left w:w="-1" w:type="dxa"/>
              <w:bottom w:w="-1" w:type="dxa"/>
              <w:right w:w="-1" w:type="dxa"/>
            </w:tcMar>
            <w:vAlign w:val="center"/>
          </w:tcPr>
          <w:p w14:paraId="08A26CE1" w14:textId="77777777" w:rsidR="00793432" w:rsidRDefault="00000000">
            <w:pPr>
              <w:spacing w:line="288" w:lineRule="auto"/>
              <w:ind w:firstLine="360"/>
              <w:jc w:val="center"/>
            </w:pPr>
            <w:r>
              <w:rPr>
                <w:sz w:val="18"/>
              </w:rPr>
              <w:t>0.8929</w:t>
            </w:r>
          </w:p>
        </w:tc>
        <w:tc>
          <w:tcPr>
            <w:tcW w:w="1250" w:type="dxa"/>
            <w:tcBorders>
              <w:top w:val="nil"/>
              <w:left w:val="nil"/>
              <w:bottom w:val="nil"/>
              <w:right w:val="nil"/>
            </w:tcBorders>
            <w:tcMar>
              <w:top w:w="-1" w:type="dxa"/>
              <w:left w:w="-1" w:type="dxa"/>
              <w:bottom w:w="-1" w:type="dxa"/>
              <w:right w:w="-1" w:type="dxa"/>
            </w:tcMar>
            <w:vAlign w:val="center"/>
          </w:tcPr>
          <w:p w14:paraId="5A37B560" w14:textId="77777777" w:rsidR="00793432" w:rsidRDefault="00000000">
            <w:pPr>
              <w:spacing w:line="288" w:lineRule="auto"/>
              <w:ind w:firstLine="360"/>
              <w:jc w:val="center"/>
            </w:pPr>
            <w:r>
              <w:rPr>
                <w:sz w:val="18"/>
              </w:rPr>
              <w:t>0.7232</w:t>
            </w:r>
          </w:p>
        </w:tc>
        <w:tc>
          <w:tcPr>
            <w:tcW w:w="1250" w:type="dxa"/>
            <w:tcBorders>
              <w:top w:val="nil"/>
              <w:left w:val="nil"/>
              <w:bottom w:val="nil"/>
              <w:right w:val="nil"/>
            </w:tcBorders>
            <w:tcMar>
              <w:top w:w="-1" w:type="dxa"/>
              <w:left w:w="-1" w:type="dxa"/>
              <w:bottom w:w="-1" w:type="dxa"/>
              <w:right w:w="-1" w:type="dxa"/>
            </w:tcMar>
            <w:vAlign w:val="center"/>
          </w:tcPr>
          <w:p w14:paraId="26360236" w14:textId="77777777" w:rsidR="00793432" w:rsidRDefault="00000000">
            <w:pPr>
              <w:spacing w:line="288" w:lineRule="auto"/>
              <w:ind w:firstLine="360"/>
              <w:jc w:val="center"/>
            </w:pPr>
            <w:r>
              <w:rPr>
                <w:sz w:val="18"/>
              </w:rPr>
              <w:t>0.6929</w:t>
            </w:r>
          </w:p>
        </w:tc>
        <w:tc>
          <w:tcPr>
            <w:tcW w:w="1250" w:type="dxa"/>
            <w:tcBorders>
              <w:top w:val="nil"/>
              <w:left w:val="nil"/>
              <w:bottom w:val="nil"/>
              <w:right w:val="nil"/>
            </w:tcBorders>
            <w:tcMar>
              <w:top w:w="-1" w:type="dxa"/>
              <w:left w:w="-1" w:type="dxa"/>
              <w:bottom w:w="-1" w:type="dxa"/>
              <w:right w:w="-1" w:type="dxa"/>
            </w:tcMar>
            <w:vAlign w:val="center"/>
          </w:tcPr>
          <w:p w14:paraId="00FF9F66" w14:textId="77777777" w:rsidR="00793432" w:rsidRDefault="00000000">
            <w:pPr>
              <w:spacing w:line="288" w:lineRule="auto"/>
              <w:ind w:firstLineChars="0" w:firstLine="0"/>
              <w:jc w:val="center"/>
            </w:pPr>
            <w:r>
              <w:rPr>
                <w:sz w:val="18"/>
              </w:rPr>
              <w:t>NICS</w:t>
            </w:r>
            <w:r>
              <w:rPr>
                <w:sz w:val="18"/>
              </w:rPr>
              <w:t>边际增益</w:t>
            </w:r>
          </w:p>
        </w:tc>
      </w:tr>
      <w:tr w:rsidR="00793432" w14:paraId="00DEC83F" w14:textId="77777777">
        <w:trPr>
          <w:jc w:val="center"/>
        </w:trPr>
        <w:tc>
          <w:tcPr>
            <w:tcW w:w="2450" w:type="dxa"/>
            <w:tcBorders>
              <w:top w:val="nil"/>
              <w:left w:val="nil"/>
              <w:bottom w:val="nil"/>
              <w:right w:val="nil"/>
            </w:tcBorders>
            <w:tcMar>
              <w:top w:w="-1" w:type="dxa"/>
              <w:left w:w="-1" w:type="dxa"/>
              <w:bottom w:w="-1" w:type="dxa"/>
              <w:right w:w="-1" w:type="dxa"/>
            </w:tcMar>
            <w:vAlign w:val="center"/>
          </w:tcPr>
          <w:p w14:paraId="3B29F458" w14:textId="77777777" w:rsidR="00793432" w:rsidRDefault="00000000">
            <w:pPr>
              <w:spacing w:line="288" w:lineRule="auto"/>
              <w:ind w:firstLine="360"/>
              <w:jc w:val="center"/>
            </w:pPr>
            <w:r>
              <w:rPr>
                <w:sz w:val="18"/>
              </w:rPr>
              <w:t>酚类结构</w:t>
            </w:r>
            <w:r>
              <w:rPr>
                <w:sz w:val="18"/>
              </w:rPr>
              <w:t>+</w:t>
            </w:r>
            <w:r>
              <w:rPr>
                <w:sz w:val="18"/>
              </w:rPr>
              <w:t>绝对电荷</w:t>
            </w:r>
            <w:r>
              <w:rPr>
                <w:sz w:val="18"/>
              </w:rPr>
              <w:t>+Fukui</w:t>
            </w:r>
          </w:p>
        </w:tc>
        <w:tc>
          <w:tcPr>
            <w:tcW w:w="1300" w:type="dxa"/>
            <w:tcBorders>
              <w:top w:val="nil"/>
              <w:left w:val="nil"/>
              <w:bottom w:val="nil"/>
              <w:right w:val="nil"/>
            </w:tcBorders>
            <w:tcMar>
              <w:top w:w="-1" w:type="dxa"/>
              <w:left w:w="-1" w:type="dxa"/>
              <w:bottom w:w="-1" w:type="dxa"/>
              <w:right w:w="-1" w:type="dxa"/>
            </w:tcMar>
            <w:vAlign w:val="center"/>
          </w:tcPr>
          <w:p w14:paraId="538F97B4" w14:textId="77777777" w:rsidR="00793432" w:rsidRDefault="00000000">
            <w:pPr>
              <w:spacing w:line="288" w:lineRule="auto"/>
              <w:ind w:firstLine="360"/>
              <w:jc w:val="center"/>
            </w:pPr>
            <w:r>
              <w:rPr>
                <w:sz w:val="18"/>
              </w:rPr>
              <w:t>0.8507</w:t>
            </w:r>
          </w:p>
        </w:tc>
        <w:tc>
          <w:tcPr>
            <w:tcW w:w="1250" w:type="dxa"/>
            <w:tcBorders>
              <w:top w:val="nil"/>
              <w:left w:val="nil"/>
              <w:bottom w:val="nil"/>
              <w:right w:val="nil"/>
            </w:tcBorders>
            <w:tcMar>
              <w:top w:w="-1" w:type="dxa"/>
              <w:left w:w="-1" w:type="dxa"/>
              <w:bottom w:w="-1" w:type="dxa"/>
              <w:right w:w="-1" w:type="dxa"/>
            </w:tcMar>
            <w:vAlign w:val="center"/>
          </w:tcPr>
          <w:p w14:paraId="46BBB606" w14:textId="77777777" w:rsidR="00793432" w:rsidRDefault="00000000">
            <w:pPr>
              <w:spacing w:line="288" w:lineRule="auto"/>
              <w:ind w:firstLine="360"/>
              <w:jc w:val="center"/>
            </w:pPr>
            <w:r>
              <w:rPr>
                <w:sz w:val="18"/>
              </w:rPr>
              <w:t>0.8857</w:t>
            </w:r>
          </w:p>
        </w:tc>
        <w:tc>
          <w:tcPr>
            <w:tcW w:w="1250" w:type="dxa"/>
            <w:tcBorders>
              <w:top w:val="nil"/>
              <w:left w:val="nil"/>
              <w:bottom w:val="nil"/>
              <w:right w:val="nil"/>
            </w:tcBorders>
            <w:tcMar>
              <w:top w:w="-1" w:type="dxa"/>
              <w:left w:w="-1" w:type="dxa"/>
              <w:bottom w:w="-1" w:type="dxa"/>
              <w:right w:w="-1" w:type="dxa"/>
            </w:tcMar>
            <w:vAlign w:val="center"/>
          </w:tcPr>
          <w:p w14:paraId="2A42D1A8" w14:textId="77777777" w:rsidR="00793432" w:rsidRDefault="00000000">
            <w:pPr>
              <w:spacing w:line="288" w:lineRule="auto"/>
              <w:ind w:firstLine="360"/>
              <w:jc w:val="center"/>
            </w:pPr>
            <w:r>
              <w:rPr>
                <w:sz w:val="18"/>
              </w:rPr>
              <w:t>0.7236</w:t>
            </w:r>
          </w:p>
        </w:tc>
        <w:tc>
          <w:tcPr>
            <w:tcW w:w="1250" w:type="dxa"/>
            <w:tcBorders>
              <w:top w:val="nil"/>
              <w:left w:val="nil"/>
              <w:bottom w:val="nil"/>
              <w:right w:val="nil"/>
            </w:tcBorders>
            <w:tcMar>
              <w:top w:w="-1" w:type="dxa"/>
              <w:left w:w="-1" w:type="dxa"/>
              <w:bottom w:w="-1" w:type="dxa"/>
              <w:right w:w="-1" w:type="dxa"/>
            </w:tcMar>
            <w:vAlign w:val="center"/>
          </w:tcPr>
          <w:p w14:paraId="6071ECD3" w14:textId="77777777" w:rsidR="00793432" w:rsidRDefault="00000000">
            <w:pPr>
              <w:spacing w:line="288" w:lineRule="auto"/>
              <w:ind w:firstLine="360"/>
              <w:jc w:val="center"/>
            </w:pPr>
            <w:r>
              <w:rPr>
                <w:sz w:val="18"/>
              </w:rPr>
              <w:t>0.6714</w:t>
            </w:r>
          </w:p>
        </w:tc>
        <w:tc>
          <w:tcPr>
            <w:tcW w:w="1250" w:type="dxa"/>
            <w:tcBorders>
              <w:top w:val="nil"/>
              <w:left w:val="nil"/>
              <w:bottom w:val="nil"/>
              <w:right w:val="nil"/>
            </w:tcBorders>
            <w:tcMar>
              <w:top w:w="-1" w:type="dxa"/>
              <w:left w:w="-1" w:type="dxa"/>
              <w:bottom w:w="-1" w:type="dxa"/>
              <w:right w:w="-1" w:type="dxa"/>
            </w:tcMar>
            <w:vAlign w:val="center"/>
          </w:tcPr>
          <w:p w14:paraId="0D974FD8" w14:textId="77777777" w:rsidR="00793432" w:rsidRDefault="00000000">
            <w:pPr>
              <w:spacing w:line="288" w:lineRule="auto"/>
              <w:ind w:firstLineChars="0" w:firstLine="0"/>
              <w:jc w:val="center"/>
            </w:pPr>
            <w:r>
              <w:rPr>
                <w:sz w:val="18"/>
              </w:rPr>
              <w:t>图模型略有补充</w:t>
            </w:r>
          </w:p>
        </w:tc>
      </w:tr>
      <w:tr w:rsidR="00793432" w14:paraId="50112211" w14:textId="77777777">
        <w:trPr>
          <w:jc w:val="center"/>
        </w:trPr>
        <w:tc>
          <w:tcPr>
            <w:tcW w:w="2450" w:type="dxa"/>
            <w:tcBorders>
              <w:top w:val="nil"/>
              <w:left w:val="nil"/>
              <w:bottom w:val="nil"/>
              <w:right w:val="nil"/>
            </w:tcBorders>
            <w:tcMar>
              <w:top w:w="-1" w:type="dxa"/>
              <w:left w:w="-1" w:type="dxa"/>
              <w:bottom w:w="-1" w:type="dxa"/>
              <w:right w:w="-1" w:type="dxa"/>
            </w:tcMar>
            <w:vAlign w:val="center"/>
          </w:tcPr>
          <w:p w14:paraId="7DB4C3E4" w14:textId="77777777" w:rsidR="00793432" w:rsidRDefault="00000000">
            <w:pPr>
              <w:spacing w:line="288" w:lineRule="auto"/>
              <w:ind w:firstLine="360"/>
              <w:jc w:val="center"/>
            </w:pPr>
            <w:r>
              <w:rPr>
                <w:sz w:val="18"/>
              </w:rPr>
              <w:t>酚类结构</w:t>
            </w:r>
            <w:r>
              <w:rPr>
                <w:sz w:val="18"/>
              </w:rPr>
              <w:t>+</w:t>
            </w:r>
            <w:r>
              <w:rPr>
                <w:sz w:val="18"/>
              </w:rPr>
              <w:t>绝对电荷</w:t>
            </w:r>
            <w:r>
              <w:rPr>
                <w:sz w:val="18"/>
              </w:rPr>
              <w:t>+NICS</w:t>
            </w:r>
          </w:p>
        </w:tc>
        <w:tc>
          <w:tcPr>
            <w:tcW w:w="1300" w:type="dxa"/>
            <w:tcBorders>
              <w:top w:val="nil"/>
              <w:left w:val="nil"/>
              <w:bottom w:val="nil"/>
              <w:right w:val="nil"/>
            </w:tcBorders>
            <w:tcMar>
              <w:top w:w="-1" w:type="dxa"/>
              <w:left w:w="-1" w:type="dxa"/>
              <w:bottom w:w="-1" w:type="dxa"/>
              <w:right w:w="-1" w:type="dxa"/>
            </w:tcMar>
            <w:vAlign w:val="center"/>
          </w:tcPr>
          <w:p w14:paraId="1ACC0C13" w14:textId="77777777" w:rsidR="00793432" w:rsidRDefault="00000000">
            <w:pPr>
              <w:spacing w:line="288" w:lineRule="auto"/>
              <w:ind w:firstLine="360"/>
              <w:jc w:val="center"/>
            </w:pPr>
            <w:r>
              <w:rPr>
                <w:sz w:val="18"/>
              </w:rPr>
              <w:t>0.8579</w:t>
            </w:r>
          </w:p>
        </w:tc>
        <w:tc>
          <w:tcPr>
            <w:tcW w:w="1250" w:type="dxa"/>
            <w:tcBorders>
              <w:top w:val="nil"/>
              <w:left w:val="nil"/>
              <w:bottom w:val="nil"/>
              <w:right w:val="nil"/>
            </w:tcBorders>
            <w:tcMar>
              <w:top w:w="-1" w:type="dxa"/>
              <w:left w:w="-1" w:type="dxa"/>
              <w:bottom w:w="-1" w:type="dxa"/>
              <w:right w:w="-1" w:type="dxa"/>
            </w:tcMar>
            <w:vAlign w:val="center"/>
          </w:tcPr>
          <w:p w14:paraId="20F7F8DD" w14:textId="77777777" w:rsidR="00793432" w:rsidRDefault="00000000">
            <w:pPr>
              <w:spacing w:line="288" w:lineRule="auto"/>
              <w:ind w:firstLine="360"/>
              <w:jc w:val="center"/>
            </w:pPr>
            <w:r>
              <w:rPr>
                <w:sz w:val="18"/>
              </w:rPr>
              <w:t>0.8929</w:t>
            </w:r>
          </w:p>
        </w:tc>
        <w:tc>
          <w:tcPr>
            <w:tcW w:w="1250" w:type="dxa"/>
            <w:tcBorders>
              <w:top w:val="nil"/>
              <w:left w:val="nil"/>
              <w:bottom w:val="nil"/>
              <w:right w:val="nil"/>
            </w:tcBorders>
            <w:tcMar>
              <w:top w:w="-1" w:type="dxa"/>
              <w:left w:w="-1" w:type="dxa"/>
              <w:bottom w:w="-1" w:type="dxa"/>
              <w:right w:w="-1" w:type="dxa"/>
            </w:tcMar>
            <w:vAlign w:val="center"/>
          </w:tcPr>
          <w:p w14:paraId="64130675" w14:textId="77777777" w:rsidR="00793432" w:rsidRDefault="00000000">
            <w:pPr>
              <w:spacing w:line="288" w:lineRule="auto"/>
              <w:ind w:firstLine="360"/>
              <w:jc w:val="center"/>
            </w:pPr>
            <w:r>
              <w:rPr>
                <w:sz w:val="18"/>
              </w:rPr>
              <w:t>0.7156</w:t>
            </w:r>
          </w:p>
        </w:tc>
        <w:tc>
          <w:tcPr>
            <w:tcW w:w="1250" w:type="dxa"/>
            <w:tcBorders>
              <w:top w:val="nil"/>
              <w:left w:val="nil"/>
              <w:bottom w:val="nil"/>
              <w:right w:val="nil"/>
            </w:tcBorders>
            <w:tcMar>
              <w:top w:w="-1" w:type="dxa"/>
              <w:left w:w="-1" w:type="dxa"/>
              <w:bottom w:w="-1" w:type="dxa"/>
              <w:right w:w="-1" w:type="dxa"/>
            </w:tcMar>
            <w:vAlign w:val="center"/>
          </w:tcPr>
          <w:p w14:paraId="48EB9DFB" w14:textId="77777777" w:rsidR="00793432" w:rsidRDefault="00000000">
            <w:pPr>
              <w:spacing w:line="288" w:lineRule="auto"/>
              <w:ind w:firstLine="360"/>
              <w:jc w:val="center"/>
            </w:pPr>
            <w:r>
              <w:rPr>
                <w:sz w:val="18"/>
              </w:rPr>
              <w:t>0.7000</w:t>
            </w:r>
          </w:p>
        </w:tc>
        <w:tc>
          <w:tcPr>
            <w:tcW w:w="1250" w:type="dxa"/>
            <w:tcBorders>
              <w:top w:val="nil"/>
              <w:left w:val="nil"/>
              <w:bottom w:val="nil"/>
              <w:right w:val="nil"/>
            </w:tcBorders>
            <w:tcMar>
              <w:top w:w="-1" w:type="dxa"/>
              <w:left w:w="-1" w:type="dxa"/>
              <w:bottom w:w="-1" w:type="dxa"/>
              <w:right w:w="-1" w:type="dxa"/>
            </w:tcMar>
            <w:vAlign w:val="center"/>
          </w:tcPr>
          <w:p w14:paraId="12187A1B" w14:textId="77777777" w:rsidR="00793432" w:rsidRDefault="00000000">
            <w:pPr>
              <w:spacing w:line="288" w:lineRule="auto"/>
              <w:ind w:firstLineChars="0" w:firstLine="0"/>
              <w:jc w:val="center"/>
            </w:pPr>
            <w:r>
              <w:rPr>
                <w:sz w:val="18"/>
              </w:rPr>
              <w:t>Random Forest</w:t>
            </w:r>
            <w:r>
              <w:rPr>
                <w:sz w:val="18"/>
              </w:rPr>
              <w:t>阈值性能改善</w:t>
            </w:r>
          </w:p>
        </w:tc>
      </w:tr>
      <w:tr w:rsidR="00793432" w14:paraId="32E36E2C" w14:textId="77777777">
        <w:trPr>
          <w:jc w:val="center"/>
        </w:trPr>
        <w:tc>
          <w:tcPr>
            <w:tcW w:w="2450" w:type="dxa"/>
            <w:tcBorders>
              <w:top w:val="nil"/>
              <w:left w:val="nil"/>
              <w:bottom w:val="nil"/>
              <w:right w:val="nil"/>
            </w:tcBorders>
            <w:tcMar>
              <w:top w:w="-1" w:type="dxa"/>
              <w:left w:w="-1" w:type="dxa"/>
              <w:bottom w:w="-1" w:type="dxa"/>
              <w:right w:w="-1" w:type="dxa"/>
            </w:tcMar>
            <w:vAlign w:val="center"/>
          </w:tcPr>
          <w:p w14:paraId="3C54D239" w14:textId="77777777" w:rsidR="00793432" w:rsidRDefault="00000000">
            <w:pPr>
              <w:spacing w:line="288" w:lineRule="auto"/>
              <w:ind w:firstLine="360"/>
              <w:jc w:val="center"/>
            </w:pPr>
            <w:r>
              <w:rPr>
                <w:sz w:val="18"/>
              </w:rPr>
              <w:t>酚类结构</w:t>
            </w:r>
            <w:r>
              <w:rPr>
                <w:sz w:val="18"/>
              </w:rPr>
              <w:t>+</w:t>
            </w:r>
            <w:proofErr w:type="spellStart"/>
            <w:r>
              <w:rPr>
                <w:sz w:val="18"/>
              </w:rPr>
              <w:t>Fukui+NICS</w:t>
            </w:r>
            <w:proofErr w:type="spellEnd"/>
          </w:p>
        </w:tc>
        <w:tc>
          <w:tcPr>
            <w:tcW w:w="1300" w:type="dxa"/>
            <w:tcBorders>
              <w:top w:val="nil"/>
              <w:left w:val="nil"/>
              <w:bottom w:val="nil"/>
              <w:right w:val="nil"/>
            </w:tcBorders>
            <w:tcMar>
              <w:top w:w="-1" w:type="dxa"/>
              <w:left w:w="-1" w:type="dxa"/>
              <w:bottom w:w="-1" w:type="dxa"/>
              <w:right w:w="-1" w:type="dxa"/>
            </w:tcMar>
            <w:vAlign w:val="center"/>
          </w:tcPr>
          <w:p w14:paraId="1D11ABB4" w14:textId="77777777" w:rsidR="00793432" w:rsidRDefault="00000000">
            <w:pPr>
              <w:spacing w:line="288" w:lineRule="auto"/>
              <w:ind w:firstLine="360"/>
              <w:jc w:val="center"/>
            </w:pPr>
            <w:r>
              <w:rPr>
                <w:sz w:val="18"/>
              </w:rPr>
              <w:t>0.8553</w:t>
            </w:r>
          </w:p>
        </w:tc>
        <w:tc>
          <w:tcPr>
            <w:tcW w:w="1250" w:type="dxa"/>
            <w:tcBorders>
              <w:top w:val="nil"/>
              <w:left w:val="nil"/>
              <w:bottom w:val="nil"/>
              <w:right w:val="nil"/>
            </w:tcBorders>
            <w:tcMar>
              <w:top w:w="-1" w:type="dxa"/>
              <w:left w:w="-1" w:type="dxa"/>
              <w:bottom w:w="-1" w:type="dxa"/>
              <w:right w:w="-1" w:type="dxa"/>
            </w:tcMar>
            <w:vAlign w:val="center"/>
          </w:tcPr>
          <w:p w14:paraId="49F4C772" w14:textId="77777777" w:rsidR="00793432" w:rsidRDefault="00000000">
            <w:pPr>
              <w:spacing w:line="288" w:lineRule="auto"/>
              <w:ind w:firstLine="360"/>
              <w:jc w:val="center"/>
            </w:pPr>
            <w:r>
              <w:rPr>
                <w:sz w:val="18"/>
              </w:rPr>
              <w:t>0.8857</w:t>
            </w:r>
          </w:p>
        </w:tc>
        <w:tc>
          <w:tcPr>
            <w:tcW w:w="1250" w:type="dxa"/>
            <w:tcBorders>
              <w:top w:val="nil"/>
              <w:left w:val="nil"/>
              <w:bottom w:val="nil"/>
              <w:right w:val="nil"/>
            </w:tcBorders>
            <w:tcMar>
              <w:top w:w="-1" w:type="dxa"/>
              <w:left w:w="-1" w:type="dxa"/>
              <w:bottom w:w="-1" w:type="dxa"/>
              <w:right w:w="-1" w:type="dxa"/>
            </w:tcMar>
            <w:vAlign w:val="center"/>
          </w:tcPr>
          <w:p w14:paraId="4E943CF3" w14:textId="77777777" w:rsidR="00793432" w:rsidRDefault="00000000">
            <w:pPr>
              <w:spacing w:line="288" w:lineRule="auto"/>
              <w:ind w:firstLine="360"/>
              <w:jc w:val="center"/>
            </w:pPr>
            <w:r>
              <w:rPr>
                <w:sz w:val="18"/>
              </w:rPr>
              <w:t>0.7278</w:t>
            </w:r>
          </w:p>
        </w:tc>
        <w:tc>
          <w:tcPr>
            <w:tcW w:w="1250" w:type="dxa"/>
            <w:tcBorders>
              <w:top w:val="nil"/>
              <w:left w:val="nil"/>
              <w:bottom w:val="nil"/>
              <w:right w:val="nil"/>
            </w:tcBorders>
            <w:tcMar>
              <w:top w:w="-1" w:type="dxa"/>
              <w:left w:w="-1" w:type="dxa"/>
              <w:bottom w:w="-1" w:type="dxa"/>
              <w:right w:w="-1" w:type="dxa"/>
            </w:tcMar>
            <w:vAlign w:val="center"/>
          </w:tcPr>
          <w:p w14:paraId="27F31CA2" w14:textId="77777777" w:rsidR="00793432" w:rsidRDefault="00000000">
            <w:pPr>
              <w:spacing w:line="288" w:lineRule="auto"/>
              <w:ind w:firstLine="360"/>
              <w:jc w:val="center"/>
            </w:pPr>
            <w:r>
              <w:rPr>
                <w:sz w:val="18"/>
              </w:rPr>
              <w:t>0.7071</w:t>
            </w:r>
          </w:p>
        </w:tc>
        <w:tc>
          <w:tcPr>
            <w:tcW w:w="1250" w:type="dxa"/>
            <w:tcBorders>
              <w:top w:val="nil"/>
              <w:left w:val="nil"/>
              <w:bottom w:val="nil"/>
              <w:right w:val="nil"/>
            </w:tcBorders>
            <w:tcMar>
              <w:top w:w="-1" w:type="dxa"/>
              <w:left w:w="-1" w:type="dxa"/>
              <w:bottom w:w="-1" w:type="dxa"/>
              <w:right w:w="-1" w:type="dxa"/>
            </w:tcMar>
            <w:vAlign w:val="center"/>
          </w:tcPr>
          <w:p w14:paraId="349E2AF9" w14:textId="77777777" w:rsidR="00793432" w:rsidRDefault="00000000">
            <w:pPr>
              <w:spacing w:line="288" w:lineRule="auto"/>
              <w:ind w:firstLineChars="0" w:firstLine="0"/>
              <w:jc w:val="center"/>
            </w:pPr>
            <w:r>
              <w:rPr>
                <w:sz w:val="18"/>
              </w:rPr>
              <w:t>反应性描述符互补</w:t>
            </w:r>
          </w:p>
        </w:tc>
      </w:tr>
      <w:tr w:rsidR="00793432" w14:paraId="5B8B66DE" w14:textId="77777777">
        <w:trPr>
          <w:jc w:val="center"/>
        </w:trPr>
        <w:tc>
          <w:tcPr>
            <w:tcW w:w="2450" w:type="dxa"/>
            <w:tcBorders>
              <w:top w:val="nil"/>
              <w:left w:val="nil"/>
              <w:bottom w:val="nil"/>
              <w:right w:val="nil"/>
            </w:tcBorders>
            <w:tcMar>
              <w:top w:w="-1" w:type="dxa"/>
              <w:left w:w="-1" w:type="dxa"/>
              <w:bottom w:w="-1" w:type="dxa"/>
              <w:right w:w="-1" w:type="dxa"/>
            </w:tcMar>
            <w:vAlign w:val="center"/>
          </w:tcPr>
          <w:p w14:paraId="5A064E0C" w14:textId="77777777" w:rsidR="00793432" w:rsidRDefault="00000000">
            <w:pPr>
              <w:spacing w:line="288" w:lineRule="auto"/>
              <w:ind w:firstLine="360"/>
              <w:jc w:val="center"/>
            </w:pPr>
            <w:r>
              <w:rPr>
                <w:sz w:val="18"/>
              </w:rPr>
              <w:t>全融合特征</w:t>
            </w:r>
          </w:p>
        </w:tc>
        <w:tc>
          <w:tcPr>
            <w:tcW w:w="1300" w:type="dxa"/>
            <w:tcBorders>
              <w:top w:val="nil"/>
              <w:left w:val="nil"/>
              <w:bottom w:val="nil"/>
              <w:right w:val="nil"/>
            </w:tcBorders>
            <w:tcMar>
              <w:top w:w="-1" w:type="dxa"/>
              <w:left w:w="-1" w:type="dxa"/>
              <w:bottom w:w="-1" w:type="dxa"/>
              <w:right w:w="-1" w:type="dxa"/>
            </w:tcMar>
            <w:vAlign w:val="center"/>
          </w:tcPr>
          <w:p w14:paraId="3EED07D0" w14:textId="77777777" w:rsidR="00793432" w:rsidRDefault="00000000">
            <w:pPr>
              <w:spacing w:line="288" w:lineRule="auto"/>
              <w:ind w:firstLine="360"/>
              <w:jc w:val="center"/>
            </w:pPr>
            <w:r>
              <w:rPr>
                <w:sz w:val="18"/>
              </w:rPr>
              <w:t>0.8555</w:t>
            </w:r>
          </w:p>
        </w:tc>
        <w:tc>
          <w:tcPr>
            <w:tcW w:w="1250" w:type="dxa"/>
            <w:tcBorders>
              <w:top w:val="nil"/>
              <w:left w:val="nil"/>
              <w:bottom w:val="nil"/>
              <w:right w:val="nil"/>
            </w:tcBorders>
            <w:tcMar>
              <w:top w:w="-1" w:type="dxa"/>
              <w:left w:w="-1" w:type="dxa"/>
              <w:bottom w:w="-1" w:type="dxa"/>
              <w:right w:w="-1" w:type="dxa"/>
            </w:tcMar>
            <w:vAlign w:val="center"/>
          </w:tcPr>
          <w:p w14:paraId="26518E28" w14:textId="77777777" w:rsidR="00793432" w:rsidRDefault="00000000">
            <w:pPr>
              <w:spacing w:line="288" w:lineRule="auto"/>
              <w:ind w:firstLine="360"/>
              <w:jc w:val="center"/>
            </w:pPr>
            <w:r>
              <w:rPr>
                <w:sz w:val="18"/>
              </w:rPr>
              <w:t>0.8929</w:t>
            </w:r>
          </w:p>
        </w:tc>
        <w:tc>
          <w:tcPr>
            <w:tcW w:w="1250" w:type="dxa"/>
            <w:tcBorders>
              <w:top w:val="nil"/>
              <w:left w:val="nil"/>
              <w:bottom w:val="nil"/>
              <w:right w:val="nil"/>
            </w:tcBorders>
            <w:tcMar>
              <w:top w:w="-1" w:type="dxa"/>
              <w:left w:w="-1" w:type="dxa"/>
              <w:bottom w:w="-1" w:type="dxa"/>
              <w:right w:w="-1" w:type="dxa"/>
            </w:tcMar>
            <w:vAlign w:val="center"/>
          </w:tcPr>
          <w:p w14:paraId="21C754F9" w14:textId="77777777" w:rsidR="00793432" w:rsidRDefault="00000000">
            <w:pPr>
              <w:spacing w:line="288" w:lineRule="auto"/>
              <w:ind w:firstLine="360"/>
              <w:jc w:val="center"/>
            </w:pPr>
            <w:r>
              <w:rPr>
                <w:sz w:val="18"/>
              </w:rPr>
              <w:t>0.7344</w:t>
            </w:r>
          </w:p>
        </w:tc>
        <w:tc>
          <w:tcPr>
            <w:tcW w:w="1250" w:type="dxa"/>
            <w:tcBorders>
              <w:top w:val="nil"/>
              <w:left w:val="nil"/>
              <w:bottom w:val="nil"/>
              <w:right w:val="nil"/>
            </w:tcBorders>
            <w:tcMar>
              <w:top w:w="-1" w:type="dxa"/>
              <w:left w:w="-1" w:type="dxa"/>
              <w:bottom w:w="-1" w:type="dxa"/>
              <w:right w:w="-1" w:type="dxa"/>
            </w:tcMar>
            <w:vAlign w:val="center"/>
          </w:tcPr>
          <w:p w14:paraId="77139006" w14:textId="77777777" w:rsidR="00793432" w:rsidRDefault="00000000">
            <w:pPr>
              <w:spacing w:line="288" w:lineRule="auto"/>
              <w:ind w:firstLine="360"/>
              <w:jc w:val="center"/>
            </w:pPr>
            <w:r>
              <w:rPr>
                <w:sz w:val="18"/>
              </w:rPr>
              <w:t>0.6929</w:t>
            </w:r>
          </w:p>
        </w:tc>
        <w:tc>
          <w:tcPr>
            <w:tcW w:w="1250" w:type="dxa"/>
            <w:tcBorders>
              <w:top w:val="nil"/>
              <w:left w:val="nil"/>
              <w:bottom w:val="nil"/>
              <w:right w:val="nil"/>
            </w:tcBorders>
            <w:tcMar>
              <w:top w:w="-1" w:type="dxa"/>
              <w:left w:w="-1" w:type="dxa"/>
              <w:bottom w:w="-1" w:type="dxa"/>
              <w:right w:w="-1" w:type="dxa"/>
            </w:tcMar>
            <w:vAlign w:val="center"/>
          </w:tcPr>
          <w:p w14:paraId="44891F87" w14:textId="77777777" w:rsidR="00793432" w:rsidRDefault="00000000">
            <w:pPr>
              <w:spacing w:line="288" w:lineRule="auto"/>
              <w:ind w:firstLineChars="0" w:firstLine="0"/>
              <w:jc w:val="center"/>
            </w:pPr>
            <w:proofErr w:type="spellStart"/>
            <w:r>
              <w:rPr>
                <w:sz w:val="18"/>
              </w:rPr>
              <w:t>Chemprop</w:t>
            </w:r>
            <w:proofErr w:type="spellEnd"/>
            <w:r>
              <w:rPr>
                <w:sz w:val="18"/>
              </w:rPr>
              <w:t>最高</w:t>
            </w:r>
            <w:r>
              <w:rPr>
                <w:sz w:val="18"/>
              </w:rPr>
              <w:t>PRC</w:t>
            </w:r>
          </w:p>
        </w:tc>
      </w:tr>
      <w:tr w:rsidR="00793432" w14:paraId="23BC3991" w14:textId="77777777">
        <w:trPr>
          <w:jc w:val="center"/>
        </w:trPr>
        <w:tc>
          <w:tcPr>
            <w:tcW w:w="2450" w:type="dxa"/>
            <w:tcBorders>
              <w:top w:val="nil"/>
              <w:left w:val="nil"/>
              <w:bottom w:val="single" w:sz="12" w:space="0" w:color="auto"/>
              <w:right w:val="nil"/>
            </w:tcBorders>
            <w:tcMar>
              <w:top w:w="-1" w:type="dxa"/>
              <w:left w:w="-1" w:type="dxa"/>
              <w:bottom w:w="-1" w:type="dxa"/>
              <w:right w:w="-1" w:type="dxa"/>
            </w:tcMar>
            <w:vAlign w:val="center"/>
          </w:tcPr>
          <w:p w14:paraId="0DF630E9" w14:textId="77777777" w:rsidR="00793432" w:rsidRDefault="00000000">
            <w:pPr>
              <w:spacing w:line="288" w:lineRule="auto"/>
              <w:ind w:firstLine="360"/>
              <w:jc w:val="center"/>
            </w:pPr>
            <w:r>
              <w:rPr>
                <w:sz w:val="18"/>
              </w:rPr>
              <w:t>规则选择最优融合</w:t>
            </w:r>
          </w:p>
        </w:tc>
        <w:tc>
          <w:tcPr>
            <w:tcW w:w="1300" w:type="dxa"/>
            <w:tcBorders>
              <w:top w:val="nil"/>
              <w:left w:val="nil"/>
              <w:bottom w:val="single" w:sz="12" w:space="0" w:color="auto"/>
              <w:right w:val="nil"/>
            </w:tcBorders>
            <w:tcMar>
              <w:top w:w="-1" w:type="dxa"/>
              <w:left w:w="-1" w:type="dxa"/>
              <w:bottom w:w="-1" w:type="dxa"/>
              <w:right w:w="-1" w:type="dxa"/>
            </w:tcMar>
            <w:vAlign w:val="center"/>
          </w:tcPr>
          <w:p w14:paraId="38BF2174" w14:textId="77777777" w:rsidR="00793432" w:rsidRDefault="00000000">
            <w:pPr>
              <w:spacing w:line="288" w:lineRule="auto"/>
              <w:ind w:firstLine="360"/>
              <w:jc w:val="center"/>
            </w:pPr>
            <w:r>
              <w:rPr>
                <w:sz w:val="18"/>
              </w:rPr>
              <w:t>0.8585</w:t>
            </w:r>
          </w:p>
        </w:tc>
        <w:tc>
          <w:tcPr>
            <w:tcW w:w="1250" w:type="dxa"/>
            <w:tcBorders>
              <w:top w:val="nil"/>
              <w:left w:val="nil"/>
              <w:bottom w:val="single" w:sz="12" w:space="0" w:color="auto"/>
              <w:right w:val="nil"/>
            </w:tcBorders>
            <w:tcMar>
              <w:top w:w="-1" w:type="dxa"/>
              <w:left w:w="-1" w:type="dxa"/>
              <w:bottom w:w="-1" w:type="dxa"/>
              <w:right w:w="-1" w:type="dxa"/>
            </w:tcMar>
            <w:vAlign w:val="center"/>
          </w:tcPr>
          <w:p w14:paraId="17732B92" w14:textId="77777777" w:rsidR="00793432" w:rsidRDefault="00000000">
            <w:pPr>
              <w:spacing w:line="288" w:lineRule="auto"/>
              <w:ind w:firstLine="360"/>
              <w:jc w:val="center"/>
            </w:pPr>
            <w:r>
              <w:rPr>
                <w:sz w:val="18"/>
              </w:rPr>
              <w:t>0.8929</w:t>
            </w:r>
          </w:p>
        </w:tc>
        <w:tc>
          <w:tcPr>
            <w:tcW w:w="1250" w:type="dxa"/>
            <w:tcBorders>
              <w:top w:val="nil"/>
              <w:left w:val="nil"/>
              <w:bottom w:val="single" w:sz="12" w:space="0" w:color="auto"/>
              <w:right w:val="nil"/>
            </w:tcBorders>
            <w:tcMar>
              <w:top w:w="-1" w:type="dxa"/>
              <w:left w:w="-1" w:type="dxa"/>
              <w:bottom w:w="-1" w:type="dxa"/>
              <w:right w:w="-1" w:type="dxa"/>
            </w:tcMar>
            <w:vAlign w:val="center"/>
          </w:tcPr>
          <w:p w14:paraId="385B3E01" w14:textId="77777777" w:rsidR="00793432" w:rsidRDefault="00000000">
            <w:pPr>
              <w:spacing w:line="288" w:lineRule="auto"/>
              <w:ind w:firstLine="360"/>
              <w:jc w:val="center"/>
            </w:pPr>
            <w:r>
              <w:rPr>
                <w:sz w:val="18"/>
              </w:rPr>
              <w:t>0.7318</w:t>
            </w:r>
          </w:p>
        </w:tc>
        <w:tc>
          <w:tcPr>
            <w:tcW w:w="1250" w:type="dxa"/>
            <w:tcBorders>
              <w:top w:val="nil"/>
              <w:left w:val="nil"/>
              <w:bottom w:val="single" w:sz="12" w:space="0" w:color="auto"/>
              <w:right w:val="nil"/>
            </w:tcBorders>
            <w:tcMar>
              <w:top w:w="-1" w:type="dxa"/>
              <w:left w:w="-1" w:type="dxa"/>
              <w:bottom w:w="-1" w:type="dxa"/>
              <w:right w:w="-1" w:type="dxa"/>
            </w:tcMar>
            <w:vAlign w:val="center"/>
          </w:tcPr>
          <w:p w14:paraId="1F668E86" w14:textId="77777777" w:rsidR="00793432" w:rsidRDefault="00000000">
            <w:pPr>
              <w:spacing w:line="288" w:lineRule="auto"/>
              <w:ind w:firstLine="360"/>
              <w:jc w:val="center"/>
            </w:pPr>
            <w:r>
              <w:rPr>
                <w:sz w:val="18"/>
              </w:rPr>
              <w:t>0.6857</w:t>
            </w:r>
          </w:p>
        </w:tc>
        <w:tc>
          <w:tcPr>
            <w:tcW w:w="1250" w:type="dxa"/>
            <w:tcBorders>
              <w:top w:val="nil"/>
              <w:left w:val="nil"/>
              <w:bottom w:val="single" w:sz="12" w:space="0" w:color="auto"/>
              <w:right w:val="nil"/>
            </w:tcBorders>
            <w:tcMar>
              <w:top w:w="-1" w:type="dxa"/>
              <w:left w:w="-1" w:type="dxa"/>
              <w:bottom w:w="-1" w:type="dxa"/>
              <w:right w:w="-1" w:type="dxa"/>
            </w:tcMar>
            <w:vAlign w:val="center"/>
          </w:tcPr>
          <w:p w14:paraId="3C765C35" w14:textId="77777777" w:rsidR="00793432" w:rsidRDefault="00000000">
            <w:pPr>
              <w:spacing w:line="288" w:lineRule="auto"/>
              <w:ind w:firstLineChars="0" w:firstLine="0"/>
              <w:jc w:val="center"/>
            </w:pPr>
            <w:r>
              <w:rPr>
                <w:sz w:val="18"/>
              </w:rPr>
              <w:t>按</w:t>
            </w:r>
            <w:r>
              <w:rPr>
                <w:sz w:val="18"/>
              </w:rPr>
              <w:t>PRC</w:t>
            </w:r>
            <w:r>
              <w:rPr>
                <w:sz w:val="18"/>
              </w:rPr>
              <w:t>与</w:t>
            </w:r>
            <w:r>
              <w:rPr>
                <w:sz w:val="18"/>
              </w:rPr>
              <w:t>Hit@1</w:t>
            </w:r>
            <w:r>
              <w:rPr>
                <w:sz w:val="18"/>
              </w:rPr>
              <w:t>选择</w:t>
            </w:r>
          </w:p>
        </w:tc>
      </w:tr>
    </w:tbl>
    <w:p w14:paraId="06F94120" w14:textId="77777777" w:rsidR="00793432" w:rsidRDefault="00000000">
      <w:r>
        <w:t>本节给出十四组特征组合在</w:t>
      </w:r>
      <w:r>
        <w:t>Random Forest</w:t>
      </w:r>
      <w:r>
        <w:t>与</w:t>
      </w:r>
      <w:proofErr w:type="spellStart"/>
      <w:r>
        <w:t>Chemprop</w:t>
      </w:r>
      <w:proofErr w:type="spellEnd"/>
      <w:r>
        <w:t>上的统一消融结果，并给出按规则选择的最优融合组合。两类模型均采用五个固定随机种子和分子级</w:t>
      </w:r>
      <w:r>
        <w:t>8/2</w:t>
      </w:r>
      <w:r>
        <w:t>划分，差异仅来自模型结构和特征接入方式，因此可以用于比较传统树模型与图神经网络对不同描述符的响应。</w:t>
      </w:r>
    </w:p>
    <w:p w14:paraId="23442D1D" w14:textId="77777777" w:rsidR="00793432" w:rsidRDefault="00000000">
      <w:r>
        <w:t>Random Forest</w:t>
      </w:r>
      <w:r>
        <w:t>的结果显示，</w:t>
      </w:r>
      <w:r>
        <w:t>“</w:t>
      </w:r>
      <w:r>
        <w:t>酚类结构</w:t>
      </w:r>
      <w:r>
        <w:t>+</w:t>
      </w:r>
      <w:r>
        <w:t>绝对电荷</w:t>
      </w:r>
      <w:r>
        <w:t>”</w:t>
      </w:r>
      <w:r>
        <w:t>组合</w:t>
      </w:r>
      <w:r>
        <w:t>PRC</w:t>
      </w:r>
      <w:r>
        <w:t>为</w:t>
      </w:r>
      <w:r>
        <w:t>0.8585</w:t>
      </w:r>
      <w:r>
        <w:t>，为传统机器学习侧较为稳健的最优配置；</w:t>
      </w:r>
      <w:r>
        <w:t>“</w:t>
      </w:r>
      <w:r>
        <w:t>酚类结构</w:t>
      </w:r>
      <w:r>
        <w:t>+</w:t>
      </w:r>
      <w:r>
        <w:t>绝对电荷</w:t>
      </w:r>
      <w:r>
        <w:t>+NICS”PRC</w:t>
      </w:r>
      <w:r>
        <w:t>为</w:t>
      </w:r>
      <w:r>
        <w:t>0.8579</w:t>
      </w:r>
      <w:r>
        <w:t>，</w:t>
      </w:r>
      <w:r>
        <w:t>Best F1</w:t>
      </w:r>
      <w:r>
        <w:t>进一步提高。</w:t>
      </w:r>
      <w:r>
        <w:t>NICS</w:t>
      </w:r>
      <w:r>
        <w:t>单独加入时</w:t>
      </w:r>
      <w:r>
        <w:t>PRC</w:t>
      </w:r>
      <w:r>
        <w:t>为</w:t>
      </w:r>
      <w:r>
        <w:t>0.8413</w:t>
      </w:r>
      <w:r>
        <w:t>，高于无附加量子化学特征基线，说明其包含正向信号；但与酚类结构和绝对电荷叠加后，</w:t>
      </w:r>
      <w:r>
        <w:t>PRC</w:t>
      </w:r>
      <w:r>
        <w:t>提升不明显，提示其与已有芳香环结构信息存在部分重叠。</w:t>
      </w:r>
    </w:p>
    <w:p w14:paraId="098365C4" w14:textId="77777777" w:rsidR="00793432" w:rsidRDefault="00000000">
      <w:proofErr w:type="spellStart"/>
      <w:r>
        <w:t>Chemprop</w:t>
      </w:r>
      <w:proofErr w:type="spellEnd"/>
      <w:r>
        <w:t>的结果显示，全融合特征组合</w:t>
      </w:r>
      <w:r>
        <w:t>PRC</w:t>
      </w:r>
      <w:r>
        <w:t>为</w:t>
      </w:r>
      <w:r>
        <w:t>0.7344</w:t>
      </w:r>
      <w:r>
        <w:t>，是主消融中的最高</w:t>
      </w:r>
      <w:r>
        <w:lastRenderedPageBreak/>
        <w:t>值，并超过此前仅包含酚类结构与</w:t>
      </w:r>
      <w:r>
        <w:t>Fukui</w:t>
      </w:r>
      <w:r>
        <w:t>的强基线。酚类结构</w:t>
      </w:r>
      <w:r>
        <w:t>+Fukui</w:t>
      </w:r>
      <w:r>
        <w:t>组合</w:t>
      </w:r>
      <w:r>
        <w:t>PRC</w:t>
      </w:r>
      <w:r>
        <w:t>为</w:t>
      </w:r>
      <w:r>
        <w:t>0.7300</w:t>
      </w:r>
      <w:r>
        <w:t>，且在</w:t>
      </w:r>
      <w:r>
        <w:t>Hit@1</w:t>
      </w:r>
      <w:r>
        <w:t>、</w:t>
      </w:r>
      <w:r>
        <w:t>Hit@3</w:t>
      </w:r>
      <w:r>
        <w:t>和</w:t>
      </w:r>
      <w:r>
        <w:t>MRR</w:t>
      </w:r>
      <w:r>
        <w:t>上略优，说明</w:t>
      </w:r>
      <w:r>
        <w:t>Fukui</w:t>
      </w:r>
      <w:r>
        <w:t>与酚类结构先验对图神经网络的分子内排序贡献最稳定；</w:t>
      </w:r>
      <w:r>
        <w:t>NICS</w:t>
      </w:r>
      <w:r>
        <w:t>进一步提供边际增益，但其效果受已有芳香环结构特征影响。</w:t>
      </w:r>
    </w:p>
    <w:p w14:paraId="10E3B479" w14:textId="77777777" w:rsidR="00793432" w:rsidRDefault="00000000">
      <w:r>
        <w:t>Fukui</w:t>
      </w:r>
      <w:r>
        <w:t>与</w:t>
      </w:r>
      <w:r>
        <w:t>NICS</w:t>
      </w:r>
      <w:r>
        <w:t>实验中的可用性差异也需要纳入解释。</w:t>
      </w:r>
      <w:r>
        <w:t>Fukui</w:t>
      </w:r>
      <w:r>
        <w:t>三态计算中有</w:t>
      </w:r>
      <w:r>
        <w:t>2</w:t>
      </w:r>
      <w:r>
        <w:t>个样本的阳离子态未收敛，建模时通过可用性标志区分缺失补齐；</w:t>
      </w:r>
      <w:r>
        <w:t>NICS</w:t>
      </w:r>
      <w:r>
        <w:t>计算在</w:t>
      </w:r>
      <w:r>
        <w:t>138</w:t>
      </w:r>
      <w:r>
        <w:t>个样本中全部完成，未发现缺失或无穷值。综合来看，传统机器学习的主结果保留</w:t>
      </w:r>
      <w:r>
        <w:t>“</w:t>
      </w:r>
      <w:r>
        <w:t>酚类结构</w:t>
      </w:r>
      <w:r>
        <w:t>+</w:t>
      </w:r>
      <w:r>
        <w:t>绝对电荷</w:t>
      </w:r>
      <w:r>
        <w:t>”</w:t>
      </w:r>
      <w:r>
        <w:t>，</w:t>
      </w:r>
      <w:proofErr w:type="spellStart"/>
      <w:r>
        <w:t>Chemprop</w:t>
      </w:r>
      <w:proofErr w:type="spellEnd"/>
      <w:r>
        <w:t>的主结果保留</w:t>
      </w:r>
      <w:r>
        <w:t>“</w:t>
      </w:r>
      <w:r>
        <w:t>酚类结构</w:t>
      </w:r>
      <w:r>
        <w:t>-</w:t>
      </w:r>
      <w:r>
        <w:t>绝对电荷</w:t>
      </w:r>
      <w:r>
        <w:t>-Fukui-NICS</w:t>
      </w:r>
      <w:r>
        <w:t>全融合</w:t>
      </w:r>
      <w:r>
        <w:t>”</w:t>
      </w:r>
      <w:r>
        <w:t>。</w:t>
      </w:r>
    </w:p>
    <w:p w14:paraId="0A8F3624" w14:textId="77777777" w:rsidR="00793432" w:rsidRDefault="00000000">
      <w:pPr>
        <w:pStyle w:val="2"/>
        <w:spacing w:line="360" w:lineRule="auto"/>
        <w:ind w:firstLineChars="0" w:firstLine="0"/>
      </w:pPr>
      <w:bookmarkStart w:id="26" w:name="_Toc7020"/>
      <w:bookmarkEnd w:id="26"/>
      <w:r>
        <w:t>5.5</w:t>
      </w:r>
      <w:r>
        <w:t>全量</w:t>
      </w:r>
      <w:r>
        <w:t xml:space="preserve"> USPTO-50k </w:t>
      </w:r>
      <w:r>
        <w:t>反应位点数据集对照</w:t>
      </w:r>
    </w:p>
    <w:p w14:paraId="331CAEB0" w14:textId="77777777" w:rsidR="00793432" w:rsidRDefault="00000000">
      <w:pPr>
        <w:pStyle w:val="a3"/>
        <w:ind w:firstLine="422"/>
      </w:pPr>
      <w:r>
        <w:t>表</w:t>
      </w:r>
      <w:r>
        <w:t xml:space="preserve">5-5 </w:t>
      </w:r>
      <w:r>
        <w:t>全量</w:t>
      </w:r>
      <w:r>
        <w:t xml:space="preserve"> USPTO-50k </w:t>
      </w:r>
      <w:r>
        <w:t>反应位点数据集模型对照</w:t>
      </w:r>
    </w:p>
    <w:tbl>
      <w:tblPr>
        <w:tblStyle w:val="aa"/>
        <w:tblW w:w="8300"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ayout w:type="fixed"/>
        <w:tblLook w:val="04A0" w:firstRow="1" w:lastRow="0" w:firstColumn="1" w:lastColumn="0" w:noHBand="0" w:noVBand="1"/>
      </w:tblPr>
      <w:tblGrid>
        <w:gridCol w:w="2179"/>
        <w:gridCol w:w="1193"/>
        <w:gridCol w:w="1453"/>
        <w:gridCol w:w="1193"/>
        <w:gridCol w:w="1141"/>
        <w:gridCol w:w="1141"/>
      </w:tblGrid>
      <w:tr w:rsidR="00793432" w14:paraId="23330C21" w14:textId="77777777">
        <w:trPr>
          <w:jc w:val="center"/>
        </w:trPr>
        <w:tc>
          <w:tcPr>
            <w:tcW w:w="2100" w:type="dxa"/>
            <w:tcBorders>
              <w:top w:val="single" w:sz="12" w:space="0" w:color="auto"/>
              <w:left w:val="nil"/>
              <w:bottom w:val="nil"/>
              <w:right w:val="nil"/>
            </w:tcBorders>
            <w:tcMar>
              <w:top w:w="-1" w:type="dxa"/>
              <w:left w:w="-1" w:type="dxa"/>
              <w:bottom w:w="-1" w:type="dxa"/>
              <w:right w:w="-1" w:type="dxa"/>
            </w:tcMar>
            <w:vAlign w:val="center"/>
          </w:tcPr>
          <w:p w14:paraId="6E6664D6" w14:textId="77777777" w:rsidR="00793432" w:rsidRDefault="00000000">
            <w:pPr>
              <w:spacing w:line="288" w:lineRule="auto"/>
              <w:ind w:firstLine="360"/>
              <w:jc w:val="center"/>
            </w:pPr>
            <w:r>
              <w:rPr>
                <w:sz w:val="18"/>
              </w:rPr>
              <w:t>模型</w:t>
            </w:r>
          </w:p>
        </w:tc>
        <w:tc>
          <w:tcPr>
            <w:tcW w:w="1150" w:type="dxa"/>
            <w:tcBorders>
              <w:top w:val="single" w:sz="12" w:space="0" w:color="auto"/>
              <w:left w:val="nil"/>
              <w:bottom w:val="nil"/>
              <w:right w:val="nil"/>
            </w:tcBorders>
            <w:tcMar>
              <w:top w:w="-1" w:type="dxa"/>
              <w:left w:w="-1" w:type="dxa"/>
              <w:bottom w:w="-1" w:type="dxa"/>
              <w:right w:w="-1" w:type="dxa"/>
            </w:tcMar>
            <w:vAlign w:val="center"/>
          </w:tcPr>
          <w:p w14:paraId="693749D8" w14:textId="77777777" w:rsidR="00793432" w:rsidRDefault="00000000">
            <w:pPr>
              <w:spacing w:line="288" w:lineRule="auto"/>
              <w:ind w:firstLine="360"/>
              <w:jc w:val="center"/>
            </w:pPr>
            <w:r>
              <w:rPr>
                <w:sz w:val="18"/>
              </w:rPr>
              <w:t>PRC</w:t>
            </w:r>
          </w:p>
        </w:tc>
        <w:tc>
          <w:tcPr>
            <w:tcW w:w="1400" w:type="dxa"/>
            <w:tcBorders>
              <w:top w:val="single" w:sz="12" w:space="0" w:color="auto"/>
              <w:left w:val="nil"/>
              <w:bottom w:val="nil"/>
              <w:right w:val="nil"/>
            </w:tcBorders>
            <w:tcMar>
              <w:top w:w="-1" w:type="dxa"/>
              <w:left w:w="-1" w:type="dxa"/>
              <w:bottom w:w="-1" w:type="dxa"/>
              <w:right w:w="-1" w:type="dxa"/>
            </w:tcMar>
            <w:vAlign w:val="center"/>
          </w:tcPr>
          <w:p w14:paraId="0918D716" w14:textId="77777777" w:rsidR="00793432" w:rsidRDefault="00000000">
            <w:pPr>
              <w:spacing w:line="288" w:lineRule="auto"/>
              <w:ind w:firstLine="360"/>
              <w:jc w:val="center"/>
            </w:pPr>
            <w:r>
              <w:rPr>
                <w:sz w:val="18"/>
              </w:rPr>
              <w:t>ROC-AUC</w:t>
            </w:r>
          </w:p>
        </w:tc>
        <w:tc>
          <w:tcPr>
            <w:tcW w:w="1150" w:type="dxa"/>
            <w:tcBorders>
              <w:top w:val="single" w:sz="12" w:space="0" w:color="auto"/>
              <w:left w:val="nil"/>
              <w:bottom w:val="nil"/>
              <w:right w:val="nil"/>
            </w:tcBorders>
            <w:tcMar>
              <w:top w:w="-1" w:type="dxa"/>
              <w:left w:w="-1" w:type="dxa"/>
              <w:bottom w:w="-1" w:type="dxa"/>
              <w:right w:w="-1" w:type="dxa"/>
            </w:tcMar>
            <w:vAlign w:val="center"/>
          </w:tcPr>
          <w:p w14:paraId="190024E3" w14:textId="77777777" w:rsidR="00793432" w:rsidRDefault="00000000">
            <w:pPr>
              <w:spacing w:line="288" w:lineRule="auto"/>
              <w:ind w:firstLine="360"/>
              <w:jc w:val="center"/>
            </w:pPr>
            <w:r>
              <w:rPr>
                <w:sz w:val="18"/>
              </w:rPr>
              <w:t>Best F1</w:t>
            </w:r>
          </w:p>
        </w:tc>
        <w:tc>
          <w:tcPr>
            <w:tcW w:w="1100" w:type="dxa"/>
            <w:tcBorders>
              <w:top w:val="single" w:sz="12" w:space="0" w:color="auto"/>
              <w:left w:val="nil"/>
              <w:bottom w:val="nil"/>
              <w:right w:val="nil"/>
            </w:tcBorders>
            <w:tcMar>
              <w:top w:w="-1" w:type="dxa"/>
              <w:left w:w="-1" w:type="dxa"/>
              <w:bottom w:w="-1" w:type="dxa"/>
              <w:right w:w="-1" w:type="dxa"/>
            </w:tcMar>
            <w:vAlign w:val="center"/>
          </w:tcPr>
          <w:p w14:paraId="3593CD4A" w14:textId="77777777" w:rsidR="00793432" w:rsidRDefault="00000000">
            <w:pPr>
              <w:spacing w:line="288" w:lineRule="auto"/>
              <w:ind w:firstLine="360"/>
              <w:jc w:val="center"/>
            </w:pPr>
            <w:r>
              <w:rPr>
                <w:sz w:val="18"/>
              </w:rPr>
              <w:t>Hit@1</w:t>
            </w:r>
          </w:p>
        </w:tc>
        <w:tc>
          <w:tcPr>
            <w:tcW w:w="1100" w:type="dxa"/>
            <w:tcBorders>
              <w:top w:val="single" w:sz="12" w:space="0" w:color="auto"/>
              <w:left w:val="nil"/>
              <w:bottom w:val="nil"/>
              <w:right w:val="nil"/>
            </w:tcBorders>
            <w:tcMar>
              <w:top w:w="-1" w:type="dxa"/>
              <w:left w:w="-1" w:type="dxa"/>
              <w:bottom w:w="-1" w:type="dxa"/>
              <w:right w:w="-1" w:type="dxa"/>
            </w:tcMar>
            <w:vAlign w:val="center"/>
          </w:tcPr>
          <w:p w14:paraId="02376BE6" w14:textId="77777777" w:rsidR="00793432" w:rsidRDefault="00000000">
            <w:pPr>
              <w:spacing w:line="288" w:lineRule="auto"/>
              <w:ind w:firstLine="360"/>
              <w:jc w:val="center"/>
            </w:pPr>
            <w:r>
              <w:rPr>
                <w:sz w:val="18"/>
              </w:rPr>
              <w:t>Hit@3</w:t>
            </w:r>
          </w:p>
        </w:tc>
      </w:tr>
      <w:tr w:rsidR="00793432" w14:paraId="51919E2F" w14:textId="77777777">
        <w:trPr>
          <w:jc w:val="center"/>
        </w:trPr>
        <w:tc>
          <w:tcPr>
            <w:tcW w:w="2179" w:type="dxa"/>
            <w:tcBorders>
              <w:top w:val="single" w:sz="4" w:space="0" w:color="auto"/>
              <w:left w:val="nil"/>
              <w:bottom w:val="nil"/>
              <w:right w:val="nil"/>
            </w:tcBorders>
            <w:tcMar>
              <w:top w:w="-1" w:type="dxa"/>
              <w:left w:w="-1" w:type="dxa"/>
              <w:bottom w:w="-1" w:type="dxa"/>
              <w:right w:w="-1" w:type="dxa"/>
            </w:tcMar>
            <w:vAlign w:val="center"/>
          </w:tcPr>
          <w:p w14:paraId="786522F5" w14:textId="77777777" w:rsidR="00793432" w:rsidRDefault="00000000">
            <w:pPr>
              <w:spacing w:line="288" w:lineRule="auto"/>
              <w:ind w:firstLine="360"/>
              <w:jc w:val="center"/>
            </w:pPr>
            <w:r>
              <w:rPr>
                <w:sz w:val="18"/>
              </w:rPr>
              <w:t>Random Forest</w:t>
            </w:r>
          </w:p>
        </w:tc>
        <w:tc>
          <w:tcPr>
            <w:tcW w:w="1193" w:type="dxa"/>
            <w:tcBorders>
              <w:top w:val="single" w:sz="4" w:space="0" w:color="auto"/>
              <w:left w:val="nil"/>
              <w:bottom w:val="nil"/>
              <w:right w:val="nil"/>
            </w:tcBorders>
            <w:tcMar>
              <w:top w:w="-1" w:type="dxa"/>
              <w:left w:w="-1" w:type="dxa"/>
              <w:bottom w:w="-1" w:type="dxa"/>
              <w:right w:w="-1" w:type="dxa"/>
            </w:tcMar>
            <w:vAlign w:val="center"/>
          </w:tcPr>
          <w:p w14:paraId="5AFB0118" w14:textId="77777777" w:rsidR="00793432" w:rsidRDefault="00000000">
            <w:pPr>
              <w:spacing w:line="288" w:lineRule="auto"/>
              <w:ind w:firstLine="360"/>
              <w:jc w:val="center"/>
            </w:pPr>
            <w:r>
              <w:rPr>
                <w:sz w:val="18"/>
              </w:rPr>
              <w:t>0.8721</w:t>
            </w:r>
          </w:p>
        </w:tc>
        <w:tc>
          <w:tcPr>
            <w:tcW w:w="1453" w:type="dxa"/>
            <w:tcBorders>
              <w:top w:val="single" w:sz="4" w:space="0" w:color="auto"/>
              <w:left w:val="nil"/>
              <w:bottom w:val="nil"/>
              <w:right w:val="nil"/>
            </w:tcBorders>
            <w:tcMar>
              <w:top w:w="-1" w:type="dxa"/>
              <w:left w:w="-1" w:type="dxa"/>
              <w:bottom w:w="-1" w:type="dxa"/>
              <w:right w:w="-1" w:type="dxa"/>
            </w:tcMar>
            <w:vAlign w:val="center"/>
          </w:tcPr>
          <w:p w14:paraId="6A65EBBB" w14:textId="77777777" w:rsidR="00793432" w:rsidRDefault="00000000">
            <w:pPr>
              <w:spacing w:line="288" w:lineRule="auto"/>
              <w:ind w:firstLine="360"/>
              <w:jc w:val="center"/>
            </w:pPr>
            <w:r>
              <w:rPr>
                <w:sz w:val="18"/>
              </w:rPr>
              <w:t>0.9663</w:t>
            </w:r>
          </w:p>
        </w:tc>
        <w:tc>
          <w:tcPr>
            <w:tcW w:w="1193" w:type="dxa"/>
            <w:tcBorders>
              <w:top w:val="single" w:sz="4" w:space="0" w:color="auto"/>
              <w:left w:val="nil"/>
              <w:bottom w:val="nil"/>
              <w:right w:val="nil"/>
            </w:tcBorders>
            <w:tcMar>
              <w:top w:w="-1" w:type="dxa"/>
              <w:left w:w="-1" w:type="dxa"/>
              <w:bottom w:w="-1" w:type="dxa"/>
              <w:right w:w="-1" w:type="dxa"/>
            </w:tcMar>
            <w:vAlign w:val="center"/>
          </w:tcPr>
          <w:p w14:paraId="631141FE" w14:textId="77777777" w:rsidR="00793432" w:rsidRDefault="00000000">
            <w:pPr>
              <w:spacing w:line="288" w:lineRule="auto"/>
              <w:ind w:firstLine="360"/>
              <w:jc w:val="center"/>
            </w:pPr>
            <w:r>
              <w:rPr>
                <w:sz w:val="18"/>
              </w:rPr>
              <w:t>0.8132</w:t>
            </w:r>
          </w:p>
        </w:tc>
        <w:tc>
          <w:tcPr>
            <w:tcW w:w="1141" w:type="dxa"/>
            <w:tcBorders>
              <w:top w:val="single" w:sz="4" w:space="0" w:color="auto"/>
              <w:left w:val="nil"/>
              <w:bottom w:val="nil"/>
              <w:right w:val="nil"/>
            </w:tcBorders>
            <w:tcMar>
              <w:top w:w="-1" w:type="dxa"/>
              <w:left w:w="-1" w:type="dxa"/>
              <w:bottom w:w="-1" w:type="dxa"/>
              <w:right w:w="-1" w:type="dxa"/>
            </w:tcMar>
            <w:vAlign w:val="center"/>
          </w:tcPr>
          <w:p w14:paraId="281D9E0B" w14:textId="77777777" w:rsidR="00793432" w:rsidRDefault="00000000">
            <w:pPr>
              <w:spacing w:line="288" w:lineRule="auto"/>
              <w:ind w:firstLine="360"/>
              <w:jc w:val="center"/>
            </w:pPr>
            <w:r>
              <w:rPr>
                <w:sz w:val="18"/>
              </w:rPr>
              <w:t>0.8978</w:t>
            </w:r>
          </w:p>
        </w:tc>
        <w:tc>
          <w:tcPr>
            <w:tcW w:w="1141" w:type="dxa"/>
            <w:tcBorders>
              <w:top w:val="single" w:sz="4" w:space="0" w:color="auto"/>
              <w:left w:val="nil"/>
              <w:bottom w:val="nil"/>
              <w:right w:val="nil"/>
            </w:tcBorders>
            <w:tcMar>
              <w:top w:w="-1" w:type="dxa"/>
              <w:left w:w="-1" w:type="dxa"/>
              <w:bottom w:w="-1" w:type="dxa"/>
              <w:right w:w="-1" w:type="dxa"/>
            </w:tcMar>
            <w:vAlign w:val="center"/>
          </w:tcPr>
          <w:p w14:paraId="1344CDA3" w14:textId="77777777" w:rsidR="00793432" w:rsidRDefault="00000000">
            <w:pPr>
              <w:spacing w:line="288" w:lineRule="auto"/>
              <w:ind w:firstLine="360"/>
              <w:jc w:val="center"/>
            </w:pPr>
            <w:r>
              <w:rPr>
                <w:sz w:val="18"/>
              </w:rPr>
              <w:t>0.9523</w:t>
            </w:r>
          </w:p>
        </w:tc>
      </w:tr>
      <w:tr w:rsidR="00793432" w14:paraId="30C264B4" w14:textId="77777777">
        <w:trPr>
          <w:jc w:val="center"/>
        </w:trPr>
        <w:tc>
          <w:tcPr>
            <w:tcW w:w="2179" w:type="dxa"/>
            <w:tcBorders>
              <w:top w:val="nil"/>
              <w:left w:val="nil"/>
              <w:bottom w:val="nil"/>
              <w:right w:val="nil"/>
            </w:tcBorders>
            <w:tcMar>
              <w:top w:w="-1" w:type="dxa"/>
              <w:left w:w="-1" w:type="dxa"/>
              <w:bottom w:w="-1" w:type="dxa"/>
              <w:right w:w="-1" w:type="dxa"/>
            </w:tcMar>
            <w:vAlign w:val="center"/>
          </w:tcPr>
          <w:p w14:paraId="5A6E6536" w14:textId="77777777" w:rsidR="00793432" w:rsidRDefault="00000000">
            <w:pPr>
              <w:spacing w:line="288" w:lineRule="auto"/>
              <w:ind w:firstLine="360"/>
              <w:jc w:val="center"/>
            </w:pPr>
            <w:proofErr w:type="spellStart"/>
            <w:r>
              <w:rPr>
                <w:sz w:val="18"/>
              </w:rPr>
              <w:t>HistGradientBoosting</w:t>
            </w:r>
            <w:proofErr w:type="spellEnd"/>
          </w:p>
        </w:tc>
        <w:tc>
          <w:tcPr>
            <w:tcW w:w="1193" w:type="dxa"/>
            <w:tcBorders>
              <w:top w:val="nil"/>
              <w:left w:val="nil"/>
              <w:bottom w:val="nil"/>
              <w:right w:val="nil"/>
            </w:tcBorders>
            <w:tcMar>
              <w:top w:w="-1" w:type="dxa"/>
              <w:left w:w="-1" w:type="dxa"/>
              <w:bottom w:w="-1" w:type="dxa"/>
              <w:right w:w="-1" w:type="dxa"/>
            </w:tcMar>
            <w:vAlign w:val="center"/>
          </w:tcPr>
          <w:p w14:paraId="582DB749" w14:textId="77777777" w:rsidR="00793432" w:rsidRDefault="00000000">
            <w:pPr>
              <w:spacing w:line="288" w:lineRule="auto"/>
              <w:ind w:firstLine="360"/>
              <w:jc w:val="center"/>
            </w:pPr>
            <w:r>
              <w:rPr>
                <w:sz w:val="18"/>
              </w:rPr>
              <w:t>0.8639</w:t>
            </w:r>
          </w:p>
        </w:tc>
        <w:tc>
          <w:tcPr>
            <w:tcW w:w="1453" w:type="dxa"/>
            <w:tcBorders>
              <w:top w:val="nil"/>
              <w:left w:val="nil"/>
              <w:bottom w:val="nil"/>
              <w:right w:val="nil"/>
            </w:tcBorders>
            <w:tcMar>
              <w:top w:w="-1" w:type="dxa"/>
              <w:left w:w="-1" w:type="dxa"/>
              <w:bottom w:w="-1" w:type="dxa"/>
              <w:right w:w="-1" w:type="dxa"/>
            </w:tcMar>
            <w:vAlign w:val="center"/>
          </w:tcPr>
          <w:p w14:paraId="6CDD5039" w14:textId="77777777" w:rsidR="00793432" w:rsidRDefault="00000000">
            <w:pPr>
              <w:spacing w:line="288" w:lineRule="auto"/>
              <w:ind w:firstLine="360"/>
              <w:jc w:val="center"/>
            </w:pPr>
            <w:r>
              <w:rPr>
                <w:sz w:val="18"/>
              </w:rPr>
              <w:t>0.9628</w:t>
            </w:r>
          </w:p>
        </w:tc>
        <w:tc>
          <w:tcPr>
            <w:tcW w:w="1193" w:type="dxa"/>
            <w:tcBorders>
              <w:top w:val="nil"/>
              <w:left w:val="nil"/>
              <w:bottom w:val="nil"/>
              <w:right w:val="nil"/>
            </w:tcBorders>
            <w:tcMar>
              <w:top w:w="-1" w:type="dxa"/>
              <w:left w:w="-1" w:type="dxa"/>
              <w:bottom w:w="-1" w:type="dxa"/>
              <w:right w:w="-1" w:type="dxa"/>
            </w:tcMar>
            <w:vAlign w:val="center"/>
          </w:tcPr>
          <w:p w14:paraId="015B7958" w14:textId="77777777" w:rsidR="00793432" w:rsidRDefault="00000000">
            <w:pPr>
              <w:spacing w:line="288" w:lineRule="auto"/>
              <w:ind w:firstLine="360"/>
              <w:jc w:val="center"/>
            </w:pPr>
            <w:r>
              <w:rPr>
                <w:sz w:val="18"/>
              </w:rPr>
              <w:t>0.8051</w:t>
            </w:r>
          </w:p>
        </w:tc>
        <w:tc>
          <w:tcPr>
            <w:tcW w:w="1141" w:type="dxa"/>
            <w:tcBorders>
              <w:top w:val="nil"/>
              <w:left w:val="nil"/>
              <w:bottom w:val="nil"/>
              <w:right w:val="nil"/>
            </w:tcBorders>
            <w:tcMar>
              <w:top w:w="-1" w:type="dxa"/>
              <w:left w:w="-1" w:type="dxa"/>
              <w:bottom w:w="-1" w:type="dxa"/>
              <w:right w:w="-1" w:type="dxa"/>
            </w:tcMar>
            <w:vAlign w:val="center"/>
          </w:tcPr>
          <w:p w14:paraId="2D4AE855" w14:textId="77777777" w:rsidR="00793432" w:rsidRDefault="00000000">
            <w:pPr>
              <w:spacing w:line="288" w:lineRule="auto"/>
              <w:ind w:firstLine="360"/>
              <w:jc w:val="center"/>
            </w:pPr>
            <w:r>
              <w:rPr>
                <w:sz w:val="18"/>
              </w:rPr>
              <w:t>0.8893</w:t>
            </w:r>
          </w:p>
        </w:tc>
        <w:tc>
          <w:tcPr>
            <w:tcW w:w="1141" w:type="dxa"/>
            <w:tcBorders>
              <w:top w:val="nil"/>
              <w:left w:val="nil"/>
              <w:bottom w:val="nil"/>
              <w:right w:val="nil"/>
            </w:tcBorders>
            <w:tcMar>
              <w:top w:w="-1" w:type="dxa"/>
              <w:left w:w="-1" w:type="dxa"/>
              <w:bottom w:w="-1" w:type="dxa"/>
              <w:right w:w="-1" w:type="dxa"/>
            </w:tcMar>
            <w:vAlign w:val="center"/>
          </w:tcPr>
          <w:p w14:paraId="2DBFC3AC" w14:textId="77777777" w:rsidR="00793432" w:rsidRDefault="00000000">
            <w:pPr>
              <w:spacing w:line="288" w:lineRule="auto"/>
              <w:ind w:firstLine="360"/>
              <w:jc w:val="center"/>
            </w:pPr>
            <w:r>
              <w:rPr>
                <w:sz w:val="18"/>
              </w:rPr>
              <w:t>0.9482</w:t>
            </w:r>
          </w:p>
        </w:tc>
      </w:tr>
      <w:tr w:rsidR="00793432" w14:paraId="74924CD4" w14:textId="77777777">
        <w:trPr>
          <w:jc w:val="center"/>
        </w:trPr>
        <w:tc>
          <w:tcPr>
            <w:tcW w:w="2179" w:type="dxa"/>
            <w:tcBorders>
              <w:top w:val="nil"/>
              <w:left w:val="nil"/>
              <w:bottom w:val="nil"/>
              <w:right w:val="nil"/>
            </w:tcBorders>
            <w:tcMar>
              <w:top w:w="-1" w:type="dxa"/>
              <w:left w:w="-1" w:type="dxa"/>
              <w:bottom w:w="-1" w:type="dxa"/>
              <w:right w:w="-1" w:type="dxa"/>
            </w:tcMar>
            <w:vAlign w:val="center"/>
          </w:tcPr>
          <w:p w14:paraId="2C9E2CF7" w14:textId="77777777" w:rsidR="00793432" w:rsidRDefault="00000000">
            <w:pPr>
              <w:spacing w:line="288" w:lineRule="auto"/>
              <w:ind w:firstLine="360"/>
              <w:jc w:val="center"/>
            </w:pPr>
            <w:r>
              <w:rPr>
                <w:sz w:val="18"/>
              </w:rPr>
              <w:t>Extra Trees</w:t>
            </w:r>
          </w:p>
        </w:tc>
        <w:tc>
          <w:tcPr>
            <w:tcW w:w="1193" w:type="dxa"/>
            <w:tcBorders>
              <w:top w:val="nil"/>
              <w:left w:val="nil"/>
              <w:bottom w:val="nil"/>
              <w:right w:val="nil"/>
            </w:tcBorders>
            <w:tcMar>
              <w:top w:w="-1" w:type="dxa"/>
              <w:left w:w="-1" w:type="dxa"/>
              <w:bottom w:w="-1" w:type="dxa"/>
              <w:right w:w="-1" w:type="dxa"/>
            </w:tcMar>
            <w:vAlign w:val="center"/>
          </w:tcPr>
          <w:p w14:paraId="4B2FBA36" w14:textId="77777777" w:rsidR="00793432" w:rsidRDefault="00000000">
            <w:pPr>
              <w:spacing w:line="288" w:lineRule="auto"/>
              <w:ind w:firstLine="360"/>
              <w:jc w:val="center"/>
            </w:pPr>
            <w:r>
              <w:rPr>
                <w:sz w:val="18"/>
              </w:rPr>
              <w:t>0.8332</w:t>
            </w:r>
          </w:p>
        </w:tc>
        <w:tc>
          <w:tcPr>
            <w:tcW w:w="1453" w:type="dxa"/>
            <w:tcBorders>
              <w:top w:val="nil"/>
              <w:left w:val="nil"/>
              <w:bottom w:val="nil"/>
              <w:right w:val="nil"/>
            </w:tcBorders>
            <w:tcMar>
              <w:top w:w="-1" w:type="dxa"/>
              <w:left w:w="-1" w:type="dxa"/>
              <w:bottom w:w="-1" w:type="dxa"/>
              <w:right w:w="-1" w:type="dxa"/>
            </w:tcMar>
            <w:vAlign w:val="center"/>
          </w:tcPr>
          <w:p w14:paraId="01078DD7" w14:textId="77777777" w:rsidR="00793432" w:rsidRDefault="00000000">
            <w:pPr>
              <w:spacing w:line="288" w:lineRule="auto"/>
              <w:ind w:firstLine="360"/>
              <w:jc w:val="center"/>
            </w:pPr>
            <w:r>
              <w:rPr>
                <w:sz w:val="18"/>
              </w:rPr>
              <w:t>0.9577</w:t>
            </w:r>
          </w:p>
        </w:tc>
        <w:tc>
          <w:tcPr>
            <w:tcW w:w="1193" w:type="dxa"/>
            <w:tcBorders>
              <w:top w:val="nil"/>
              <w:left w:val="nil"/>
              <w:bottom w:val="nil"/>
              <w:right w:val="nil"/>
            </w:tcBorders>
            <w:tcMar>
              <w:top w:w="-1" w:type="dxa"/>
              <w:left w:w="-1" w:type="dxa"/>
              <w:bottom w:w="-1" w:type="dxa"/>
              <w:right w:w="-1" w:type="dxa"/>
            </w:tcMar>
            <w:vAlign w:val="center"/>
          </w:tcPr>
          <w:p w14:paraId="19D90F3B" w14:textId="77777777" w:rsidR="00793432" w:rsidRDefault="00000000">
            <w:pPr>
              <w:spacing w:line="288" w:lineRule="auto"/>
              <w:ind w:firstLine="360"/>
              <w:jc w:val="center"/>
            </w:pPr>
            <w:r>
              <w:rPr>
                <w:sz w:val="18"/>
              </w:rPr>
              <w:t>0.7894</w:t>
            </w:r>
          </w:p>
        </w:tc>
        <w:tc>
          <w:tcPr>
            <w:tcW w:w="1141" w:type="dxa"/>
            <w:tcBorders>
              <w:top w:val="nil"/>
              <w:left w:val="nil"/>
              <w:bottom w:val="nil"/>
              <w:right w:val="nil"/>
            </w:tcBorders>
            <w:tcMar>
              <w:top w:w="-1" w:type="dxa"/>
              <w:left w:w="-1" w:type="dxa"/>
              <w:bottom w:w="-1" w:type="dxa"/>
              <w:right w:w="-1" w:type="dxa"/>
            </w:tcMar>
            <w:vAlign w:val="center"/>
          </w:tcPr>
          <w:p w14:paraId="3729FEA9" w14:textId="77777777" w:rsidR="00793432" w:rsidRDefault="00000000">
            <w:pPr>
              <w:spacing w:line="288" w:lineRule="auto"/>
              <w:ind w:firstLine="360"/>
              <w:jc w:val="center"/>
            </w:pPr>
            <w:r>
              <w:rPr>
                <w:sz w:val="18"/>
              </w:rPr>
              <w:t>0.8612</w:t>
            </w:r>
          </w:p>
        </w:tc>
        <w:tc>
          <w:tcPr>
            <w:tcW w:w="1141" w:type="dxa"/>
            <w:tcBorders>
              <w:top w:val="nil"/>
              <w:left w:val="nil"/>
              <w:bottom w:val="nil"/>
              <w:right w:val="nil"/>
            </w:tcBorders>
            <w:tcMar>
              <w:top w:w="-1" w:type="dxa"/>
              <w:left w:w="-1" w:type="dxa"/>
              <w:bottom w:w="-1" w:type="dxa"/>
              <w:right w:w="-1" w:type="dxa"/>
            </w:tcMar>
            <w:vAlign w:val="center"/>
          </w:tcPr>
          <w:p w14:paraId="611B6F86" w14:textId="77777777" w:rsidR="00793432" w:rsidRDefault="00000000">
            <w:pPr>
              <w:spacing w:line="288" w:lineRule="auto"/>
              <w:ind w:firstLine="360"/>
              <w:jc w:val="center"/>
            </w:pPr>
            <w:r>
              <w:rPr>
                <w:sz w:val="18"/>
              </w:rPr>
              <w:t>0.9415</w:t>
            </w:r>
          </w:p>
        </w:tc>
      </w:tr>
      <w:tr w:rsidR="00793432" w14:paraId="2A4CDA9D" w14:textId="77777777">
        <w:trPr>
          <w:jc w:val="center"/>
        </w:trPr>
        <w:tc>
          <w:tcPr>
            <w:tcW w:w="2179" w:type="dxa"/>
            <w:tcBorders>
              <w:top w:val="nil"/>
              <w:left w:val="nil"/>
              <w:bottom w:val="nil"/>
              <w:right w:val="nil"/>
            </w:tcBorders>
            <w:tcMar>
              <w:top w:w="-1" w:type="dxa"/>
              <w:left w:w="-1" w:type="dxa"/>
              <w:bottom w:w="-1" w:type="dxa"/>
              <w:right w:w="-1" w:type="dxa"/>
            </w:tcMar>
            <w:vAlign w:val="center"/>
          </w:tcPr>
          <w:p w14:paraId="2B9A6976" w14:textId="77777777" w:rsidR="00793432" w:rsidRDefault="00000000">
            <w:pPr>
              <w:spacing w:line="288" w:lineRule="auto"/>
              <w:ind w:firstLine="360"/>
              <w:jc w:val="center"/>
            </w:pPr>
            <w:proofErr w:type="spellStart"/>
            <w:r>
              <w:rPr>
                <w:sz w:val="18"/>
              </w:rPr>
              <w:t>Chemprop</w:t>
            </w:r>
            <w:proofErr w:type="spellEnd"/>
          </w:p>
        </w:tc>
        <w:tc>
          <w:tcPr>
            <w:tcW w:w="1193" w:type="dxa"/>
            <w:tcBorders>
              <w:top w:val="nil"/>
              <w:left w:val="nil"/>
              <w:bottom w:val="nil"/>
              <w:right w:val="nil"/>
            </w:tcBorders>
            <w:tcMar>
              <w:top w:w="-1" w:type="dxa"/>
              <w:left w:w="-1" w:type="dxa"/>
              <w:bottom w:w="-1" w:type="dxa"/>
              <w:right w:w="-1" w:type="dxa"/>
            </w:tcMar>
            <w:vAlign w:val="center"/>
          </w:tcPr>
          <w:p w14:paraId="5DCCA4DD" w14:textId="77777777" w:rsidR="00793432" w:rsidRDefault="00000000">
            <w:pPr>
              <w:spacing w:line="288" w:lineRule="auto"/>
              <w:ind w:firstLine="360"/>
              <w:jc w:val="center"/>
            </w:pPr>
            <w:r>
              <w:rPr>
                <w:sz w:val="18"/>
              </w:rPr>
              <w:t>0.8045</w:t>
            </w:r>
          </w:p>
        </w:tc>
        <w:tc>
          <w:tcPr>
            <w:tcW w:w="1453" w:type="dxa"/>
            <w:tcBorders>
              <w:top w:val="nil"/>
              <w:left w:val="nil"/>
              <w:bottom w:val="nil"/>
              <w:right w:val="nil"/>
            </w:tcBorders>
            <w:tcMar>
              <w:top w:w="-1" w:type="dxa"/>
              <w:left w:w="-1" w:type="dxa"/>
              <w:bottom w:w="-1" w:type="dxa"/>
              <w:right w:w="-1" w:type="dxa"/>
            </w:tcMar>
            <w:vAlign w:val="center"/>
          </w:tcPr>
          <w:p w14:paraId="0EDD99B1" w14:textId="77777777" w:rsidR="00793432" w:rsidRDefault="00000000">
            <w:pPr>
              <w:spacing w:line="288" w:lineRule="auto"/>
              <w:ind w:firstLine="360"/>
              <w:jc w:val="center"/>
            </w:pPr>
            <w:r>
              <w:rPr>
                <w:sz w:val="18"/>
              </w:rPr>
              <w:t>0.9482</w:t>
            </w:r>
          </w:p>
        </w:tc>
        <w:tc>
          <w:tcPr>
            <w:tcW w:w="1193" w:type="dxa"/>
            <w:tcBorders>
              <w:top w:val="nil"/>
              <w:left w:val="nil"/>
              <w:bottom w:val="nil"/>
              <w:right w:val="nil"/>
            </w:tcBorders>
            <w:tcMar>
              <w:top w:w="-1" w:type="dxa"/>
              <w:left w:w="-1" w:type="dxa"/>
              <w:bottom w:w="-1" w:type="dxa"/>
              <w:right w:w="-1" w:type="dxa"/>
            </w:tcMar>
            <w:vAlign w:val="center"/>
          </w:tcPr>
          <w:p w14:paraId="665DC1E3" w14:textId="77777777" w:rsidR="00793432" w:rsidRDefault="00000000">
            <w:pPr>
              <w:spacing w:line="288" w:lineRule="auto"/>
              <w:ind w:firstLine="360"/>
              <w:jc w:val="center"/>
            </w:pPr>
            <w:r>
              <w:rPr>
                <w:sz w:val="18"/>
              </w:rPr>
              <w:t>0.7634</w:t>
            </w:r>
          </w:p>
        </w:tc>
        <w:tc>
          <w:tcPr>
            <w:tcW w:w="1141" w:type="dxa"/>
            <w:tcBorders>
              <w:top w:val="nil"/>
              <w:left w:val="nil"/>
              <w:bottom w:val="nil"/>
              <w:right w:val="nil"/>
            </w:tcBorders>
            <w:tcMar>
              <w:top w:w="-1" w:type="dxa"/>
              <w:left w:w="-1" w:type="dxa"/>
              <w:bottom w:w="-1" w:type="dxa"/>
              <w:right w:w="-1" w:type="dxa"/>
            </w:tcMar>
            <w:vAlign w:val="center"/>
          </w:tcPr>
          <w:p w14:paraId="35E41036" w14:textId="77777777" w:rsidR="00793432" w:rsidRDefault="00000000">
            <w:pPr>
              <w:spacing w:line="288" w:lineRule="auto"/>
              <w:ind w:firstLine="360"/>
              <w:jc w:val="center"/>
            </w:pPr>
            <w:r>
              <w:rPr>
                <w:sz w:val="18"/>
              </w:rPr>
              <w:t>0.8421</w:t>
            </w:r>
          </w:p>
        </w:tc>
        <w:tc>
          <w:tcPr>
            <w:tcW w:w="1141" w:type="dxa"/>
            <w:tcBorders>
              <w:top w:val="nil"/>
              <w:left w:val="nil"/>
              <w:bottom w:val="nil"/>
              <w:right w:val="nil"/>
            </w:tcBorders>
            <w:tcMar>
              <w:top w:w="-1" w:type="dxa"/>
              <w:left w:w="-1" w:type="dxa"/>
              <w:bottom w:w="-1" w:type="dxa"/>
              <w:right w:w="-1" w:type="dxa"/>
            </w:tcMar>
            <w:vAlign w:val="center"/>
          </w:tcPr>
          <w:p w14:paraId="094EACEE" w14:textId="77777777" w:rsidR="00793432" w:rsidRDefault="00000000">
            <w:pPr>
              <w:spacing w:line="288" w:lineRule="auto"/>
              <w:ind w:firstLine="360"/>
              <w:jc w:val="center"/>
            </w:pPr>
            <w:r>
              <w:rPr>
                <w:sz w:val="18"/>
              </w:rPr>
              <w:t>0.9303</w:t>
            </w:r>
          </w:p>
        </w:tc>
      </w:tr>
      <w:tr w:rsidR="00793432" w14:paraId="1858829B" w14:textId="77777777">
        <w:trPr>
          <w:jc w:val="center"/>
        </w:trPr>
        <w:tc>
          <w:tcPr>
            <w:tcW w:w="2179" w:type="dxa"/>
            <w:tcBorders>
              <w:top w:val="nil"/>
              <w:left w:val="nil"/>
              <w:bottom w:val="nil"/>
              <w:right w:val="nil"/>
            </w:tcBorders>
            <w:tcMar>
              <w:top w:w="-1" w:type="dxa"/>
              <w:left w:w="-1" w:type="dxa"/>
              <w:bottom w:w="-1" w:type="dxa"/>
              <w:right w:w="-1" w:type="dxa"/>
            </w:tcMar>
            <w:vAlign w:val="center"/>
          </w:tcPr>
          <w:p w14:paraId="616B7CB2" w14:textId="77777777" w:rsidR="00793432" w:rsidRDefault="00000000">
            <w:pPr>
              <w:spacing w:line="288" w:lineRule="auto"/>
              <w:ind w:firstLine="360"/>
              <w:jc w:val="center"/>
            </w:pPr>
            <w:r>
              <w:rPr>
                <w:sz w:val="18"/>
              </w:rPr>
              <w:t>Logistic Regression</w:t>
            </w:r>
          </w:p>
        </w:tc>
        <w:tc>
          <w:tcPr>
            <w:tcW w:w="1193" w:type="dxa"/>
            <w:tcBorders>
              <w:top w:val="nil"/>
              <w:left w:val="nil"/>
              <w:bottom w:val="nil"/>
              <w:right w:val="nil"/>
            </w:tcBorders>
            <w:tcMar>
              <w:top w:w="-1" w:type="dxa"/>
              <w:left w:w="-1" w:type="dxa"/>
              <w:bottom w:w="-1" w:type="dxa"/>
              <w:right w:w="-1" w:type="dxa"/>
            </w:tcMar>
            <w:vAlign w:val="center"/>
          </w:tcPr>
          <w:p w14:paraId="739B9353" w14:textId="77777777" w:rsidR="00793432" w:rsidRDefault="00000000">
            <w:pPr>
              <w:spacing w:line="288" w:lineRule="auto"/>
              <w:ind w:firstLine="360"/>
              <w:jc w:val="center"/>
            </w:pPr>
            <w:r>
              <w:rPr>
                <w:sz w:val="18"/>
              </w:rPr>
              <w:t>0.2820</w:t>
            </w:r>
          </w:p>
        </w:tc>
        <w:tc>
          <w:tcPr>
            <w:tcW w:w="1453" w:type="dxa"/>
            <w:tcBorders>
              <w:top w:val="nil"/>
              <w:left w:val="nil"/>
              <w:bottom w:val="nil"/>
              <w:right w:val="nil"/>
            </w:tcBorders>
            <w:tcMar>
              <w:top w:w="-1" w:type="dxa"/>
              <w:left w:w="-1" w:type="dxa"/>
              <w:bottom w:w="-1" w:type="dxa"/>
              <w:right w:w="-1" w:type="dxa"/>
            </w:tcMar>
            <w:vAlign w:val="center"/>
          </w:tcPr>
          <w:p w14:paraId="326FCF1D" w14:textId="77777777" w:rsidR="00793432" w:rsidRDefault="00000000">
            <w:pPr>
              <w:spacing w:line="288" w:lineRule="auto"/>
              <w:ind w:firstLine="360"/>
              <w:jc w:val="center"/>
            </w:pPr>
            <w:r>
              <w:rPr>
                <w:sz w:val="18"/>
              </w:rPr>
              <w:t>0.7951</w:t>
            </w:r>
          </w:p>
        </w:tc>
        <w:tc>
          <w:tcPr>
            <w:tcW w:w="1193" w:type="dxa"/>
            <w:tcBorders>
              <w:top w:val="nil"/>
              <w:left w:val="nil"/>
              <w:bottom w:val="nil"/>
              <w:right w:val="nil"/>
            </w:tcBorders>
            <w:tcMar>
              <w:top w:w="-1" w:type="dxa"/>
              <w:left w:w="-1" w:type="dxa"/>
              <w:bottom w:w="-1" w:type="dxa"/>
              <w:right w:w="-1" w:type="dxa"/>
            </w:tcMar>
            <w:vAlign w:val="center"/>
          </w:tcPr>
          <w:p w14:paraId="06695E09" w14:textId="77777777" w:rsidR="00793432" w:rsidRDefault="00000000">
            <w:pPr>
              <w:spacing w:line="288" w:lineRule="auto"/>
              <w:ind w:firstLine="360"/>
              <w:jc w:val="center"/>
            </w:pPr>
            <w:r>
              <w:rPr>
                <w:sz w:val="18"/>
              </w:rPr>
              <w:t>0.3104</w:t>
            </w:r>
          </w:p>
        </w:tc>
        <w:tc>
          <w:tcPr>
            <w:tcW w:w="1141" w:type="dxa"/>
            <w:tcBorders>
              <w:top w:val="nil"/>
              <w:left w:val="nil"/>
              <w:bottom w:val="nil"/>
              <w:right w:val="nil"/>
            </w:tcBorders>
            <w:tcMar>
              <w:top w:w="-1" w:type="dxa"/>
              <w:left w:w="-1" w:type="dxa"/>
              <w:bottom w:w="-1" w:type="dxa"/>
              <w:right w:w="-1" w:type="dxa"/>
            </w:tcMar>
            <w:vAlign w:val="center"/>
          </w:tcPr>
          <w:p w14:paraId="13493239" w14:textId="77777777" w:rsidR="00793432" w:rsidRDefault="00000000">
            <w:pPr>
              <w:spacing w:line="288" w:lineRule="auto"/>
              <w:ind w:firstLine="360"/>
              <w:jc w:val="center"/>
            </w:pPr>
            <w:r>
              <w:rPr>
                <w:sz w:val="18"/>
              </w:rPr>
              <w:t>0.4205</w:t>
            </w:r>
          </w:p>
        </w:tc>
        <w:tc>
          <w:tcPr>
            <w:tcW w:w="1141" w:type="dxa"/>
            <w:tcBorders>
              <w:top w:val="nil"/>
              <w:left w:val="nil"/>
              <w:bottom w:val="nil"/>
              <w:right w:val="nil"/>
            </w:tcBorders>
            <w:tcMar>
              <w:top w:w="-1" w:type="dxa"/>
              <w:left w:w="-1" w:type="dxa"/>
              <w:bottom w:w="-1" w:type="dxa"/>
              <w:right w:w="-1" w:type="dxa"/>
            </w:tcMar>
            <w:vAlign w:val="center"/>
          </w:tcPr>
          <w:p w14:paraId="7A187BF6" w14:textId="77777777" w:rsidR="00793432" w:rsidRDefault="00000000">
            <w:pPr>
              <w:spacing w:line="288" w:lineRule="auto"/>
              <w:ind w:firstLine="360"/>
              <w:jc w:val="center"/>
            </w:pPr>
            <w:r>
              <w:rPr>
                <w:sz w:val="18"/>
              </w:rPr>
              <w:t>0.7012</w:t>
            </w:r>
          </w:p>
        </w:tc>
      </w:tr>
      <w:tr w:rsidR="00793432" w14:paraId="4E996D11" w14:textId="77777777">
        <w:trPr>
          <w:jc w:val="center"/>
        </w:trPr>
        <w:tc>
          <w:tcPr>
            <w:tcW w:w="2179" w:type="dxa"/>
            <w:tcBorders>
              <w:top w:val="nil"/>
              <w:left w:val="nil"/>
              <w:bottom w:val="single" w:sz="12" w:space="0" w:color="auto"/>
              <w:right w:val="nil"/>
            </w:tcBorders>
            <w:tcMar>
              <w:top w:w="-1" w:type="dxa"/>
              <w:left w:w="-1" w:type="dxa"/>
              <w:bottom w:w="-1" w:type="dxa"/>
              <w:right w:w="-1" w:type="dxa"/>
            </w:tcMar>
            <w:vAlign w:val="center"/>
          </w:tcPr>
          <w:p w14:paraId="16974010" w14:textId="77777777" w:rsidR="00793432" w:rsidRDefault="00000000">
            <w:pPr>
              <w:spacing w:line="288" w:lineRule="auto"/>
              <w:ind w:firstLine="360"/>
              <w:jc w:val="center"/>
            </w:pPr>
            <w:r>
              <w:rPr>
                <w:sz w:val="18"/>
              </w:rPr>
              <w:t>SGD-Logistic</w:t>
            </w:r>
          </w:p>
        </w:tc>
        <w:tc>
          <w:tcPr>
            <w:tcW w:w="1193" w:type="dxa"/>
            <w:tcBorders>
              <w:top w:val="nil"/>
              <w:left w:val="nil"/>
              <w:bottom w:val="single" w:sz="12" w:space="0" w:color="auto"/>
              <w:right w:val="nil"/>
            </w:tcBorders>
            <w:tcMar>
              <w:top w:w="-1" w:type="dxa"/>
              <w:left w:w="-1" w:type="dxa"/>
              <w:bottom w:w="-1" w:type="dxa"/>
              <w:right w:w="-1" w:type="dxa"/>
            </w:tcMar>
            <w:vAlign w:val="center"/>
          </w:tcPr>
          <w:p w14:paraId="438171CA" w14:textId="77777777" w:rsidR="00793432" w:rsidRDefault="00000000">
            <w:pPr>
              <w:spacing w:line="288" w:lineRule="auto"/>
              <w:ind w:firstLine="360"/>
              <w:jc w:val="center"/>
            </w:pPr>
            <w:r>
              <w:rPr>
                <w:sz w:val="18"/>
              </w:rPr>
              <w:t>0.2903</w:t>
            </w:r>
          </w:p>
        </w:tc>
        <w:tc>
          <w:tcPr>
            <w:tcW w:w="1453" w:type="dxa"/>
            <w:tcBorders>
              <w:top w:val="nil"/>
              <w:left w:val="nil"/>
              <w:bottom w:val="single" w:sz="12" w:space="0" w:color="auto"/>
              <w:right w:val="nil"/>
            </w:tcBorders>
            <w:tcMar>
              <w:top w:w="-1" w:type="dxa"/>
              <w:left w:w="-1" w:type="dxa"/>
              <w:bottom w:w="-1" w:type="dxa"/>
              <w:right w:w="-1" w:type="dxa"/>
            </w:tcMar>
            <w:vAlign w:val="center"/>
          </w:tcPr>
          <w:p w14:paraId="57F73344" w14:textId="77777777" w:rsidR="00793432" w:rsidRDefault="00000000">
            <w:pPr>
              <w:spacing w:line="288" w:lineRule="auto"/>
              <w:ind w:firstLine="360"/>
              <w:jc w:val="center"/>
            </w:pPr>
            <w:r>
              <w:rPr>
                <w:sz w:val="18"/>
              </w:rPr>
              <w:t>0.8013</w:t>
            </w:r>
          </w:p>
        </w:tc>
        <w:tc>
          <w:tcPr>
            <w:tcW w:w="1193" w:type="dxa"/>
            <w:tcBorders>
              <w:top w:val="nil"/>
              <w:left w:val="nil"/>
              <w:bottom w:val="single" w:sz="12" w:space="0" w:color="auto"/>
              <w:right w:val="nil"/>
            </w:tcBorders>
            <w:tcMar>
              <w:top w:w="-1" w:type="dxa"/>
              <w:left w:w="-1" w:type="dxa"/>
              <w:bottom w:w="-1" w:type="dxa"/>
              <w:right w:w="-1" w:type="dxa"/>
            </w:tcMar>
            <w:vAlign w:val="center"/>
          </w:tcPr>
          <w:p w14:paraId="41768C39" w14:textId="77777777" w:rsidR="00793432" w:rsidRDefault="00000000">
            <w:pPr>
              <w:spacing w:line="288" w:lineRule="auto"/>
              <w:ind w:firstLine="360"/>
              <w:jc w:val="center"/>
            </w:pPr>
            <w:r>
              <w:rPr>
                <w:sz w:val="18"/>
              </w:rPr>
              <w:t>0.3196</w:t>
            </w:r>
          </w:p>
        </w:tc>
        <w:tc>
          <w:tcPr>
            <w:tcW w:w="1141" w:type="dxa"/>
            <w:tcBorders>
              <w:top w:val="nil"/>
              <w:left w:val="nil"/>
              <w:bottom w:val="single" w:sz="12" w:space="0" w:color="auto"/>
              <w:right w:val="nil"/>
            </w:tcBorders>
            <w:tcMar>
              <w:top w:w="-1" w:type="dxa"/>
              <w:left w:w="-1" w:type="dxa"/>
              <w:bottom w:w="-1" w:type="dxa"/>
              <w:right w:w="-1" w:type="dxa"/>
            </w:tcMar>
            <w:vAlign w:val="center"/>
          </w:tcPr>
          <w:p w14:paraId="7BEE3C59" w14:textId="77777777" w:rsidR="00793432" w:rsidRDefault="00000000">
            <w:pPr>
              <w:spacing w:line="288" w:lineRule="auto"/>
              <w:ind w:firstLine="360"/>
              <w:jc w:val="center"/>
            </w:pPr>
            <w:r>
              <w:rPr>
                <w:sz w:val="18"/>
              </w:rPr>
              <w:t>0.4321</w:t>
            </w:r>
          </w:p>
        </w:tc>
        <w:tc>
          <w:tcPr>
            <w:tcW w:w="1141" w:type="dxa"/>
            <w:tcBorders>
              <w:top w:val="nil"/>
              <w:left w:val="nil"/>
              <w:bottom w:val="single" w:sz="12" w:space="0" w:color="auto"/>
              <w:right w:val="nil"/>
            </w:tcBorders>
            <w:tcMar>
              <w:top w:w="-1" w:type="dxa"/>
              <w:left w:w="-1" w:type="dxa"/>
              <w:bottom w:w="-1" w:type="dxa"/>
              <w:right w:w="-1" w:type="dxa"/>
            </w:tcMar>
            <w:vAlign w:val="center"/>
          </w:tcPr>
          <w:p w14:paraId="7D8E13C5" w14:textId="77777777" w:rsidR="00793432" w:rsidRDefault="00000000">
            <w:pPr>
              <w:spacing w:line="288" w:lineRule="auto"/>
              <w:ind w:firstLine="360"/>
              <w:jc w:val="center"/>
            </w:pPr>
            <w:r>
              <w:rPr>
                <w:sz w:val="18"/>
              </w:rPr>
              <w:t>0.7123</w:t>
            </w:r>
          </w:p>
        </w:tc>
      </w:tr>
    </w:tbl>
    <w:p w14:paraId="6EFA12CB" w14:textId="77777777" w:rsidR="00793432" w:rsidRDefault="00000000">
      <w:r>
        <w:t>全量</w:t>
      </w:r>
      <w:r>
        <w:t xml:space="preserve"> USPTO-50k </w:t>
      </w:r>
      <w:r>
        <w:t>反应位点数据集对照实验不使用</w:t>
      </w:r>
      <w:r>
        <w:t>Gaussian</w:t>
      </w:r>
      <w:r>
        <w:t>特征，而是基于</w:t>
      </w:r>
      <w:proofErr w:type="spellStart"/>
      <w:r>
        <w:t>RDKit</w:t>
      </w:r>
      <w:proofErr w:type="spellEnd"/>
      <w:r>
        <w:t>原子结构与局部环境特征。结果显示，</w:t>
      </w:r>
      <w:r>
        <w:t>Random Forest</w:t>
      </w:r>
      <w:r>
        <w:t>的</w:t>
      </w:r>
      <w:r>
        <w:t>PRC</w:t>
      </w:r>
      <w:r>
        <w:t>为</w:t>
      </w:r>
      <w:r>
        <w:t>0.8721</w:t>
      </w:r>
      <w:r>
        <w:t>，</w:t>
      </w:r>
      <w:proofErr w:type="spellStart"/>
      <w:r>
        <w:t>HistGradientBoosting</w:t>
      </w:r>
      <w:proofErr w:type="spellEnd"/>
      <w:r>
        <w:t>为</w:t>
      </w:r>
      <w:r>
        <w:t>0.8639</w:t>
      </w:r>
      <w:r>
        <w:t>，</w:t>
      </w:r>
      <w:r>
        <w:t>Extra Trees</w:t>
      </w:r>
      <w:r>
        <w:t>为</w:t>
      </w:r>
      <w:r>
        <w:t>0.8332</w:t>
      </w:r>
      <w:r>
        <w:t>，均高于既有</w:t>
      </w:r>
      <w:proofErr w:type="spellStart"/>
      <w:r>
        <w:t>Chemprop</w:t>
      </w:r>
      <w:proofErr w:type="spellEnd"/>
      <w:r>
        <w:t>基线的</w:t>
      </w:r>
      <w:r>
        <w:t>0.8045</w:t>
      </w:r>
      <w:r>
        <w:t>。该结果说明，在原子级展开与结构特征充分设计的前提下，传统机器学习模型在反应位点预测任务上具备较强竞争力。</w:t>
      </w:r>
    </w:p>
    <w:p w14:paraId="0AAFEBFD" w14:textId="77777777" w:rsidR="00793432" w:rsidRDefault="00000000">
      <w:r>
        <w:t>上述结果不应理解为传统机器学习在所有场景下均优于图神经网络。大规模对照实验中的传统模型使用了充分设计的原子局部结构、邻域统计和分子级统计信息，而图神经网络基线并未针对本文的新增反应性描述符重新训练。更合理的解释是：在结构信号充分的大数据集上，树模型可构成强基线；若希望图模型进一步发挥优势，需要更高质量的原子级反应性描述符和更充分的数据规模。</w:t>
      </w:r>
    </w:p>
    <w:p w14:paraId="19FCEE4D" w14:textId="77777777" w:rsidR="00793432" w:rsidRDefault="00000000">
      <w:r>
        <w:t>全量</w:t>
      </w:r>
      <w:r>
        <w:t xml:space="preserve"> USPTO-50k </w:t>
      </w:r>
      <w:r>
        <w:t>反应位点数据集对照实验基于公开反应位点数据和</w:t>
      </w:r>
      <w:proofErr w:type="spellStart"/>
      <w:r>
        <w:t>RDKit</w:t>
      </w:r>
      <w:proofErr w:type="spellEnd"/>
      <w:r>
        <w:t>结构特征完成。本文列出的</w:t>
      </w:r>
      <w:r>
        <w:t>Random Forest PRC</w:t>
      </w:r>
      <w:r>
        <w:t>为</w:t>
      </w:r>
      <w:r>
        <w:t>0.8721</w:t>
      </w:r>
      <w:r>
        <w:t>、</w:t>
      </w:r>
      <w:proofErr w:type="spellStart"/>
      <w:r>
        <w:t>HistGradientBoosting</w:t>
      </w:r>
      <w:proofErr w:type="spellEnd"/>
      <w:r>
        <w:t xml:space="preserve"> PRC</w:t>
      </w:r>
      <w:r>
        <w:t>为</w:t>
      </w:r>
      <w:r>
        <w:t>0.8639</w:t>
      </w:r>
      <w:r>
        <w:t>、</w:t>
      </w:r>
      <w:r>
        <w:t>Extra Trees PRC</w:t>
      </w:r>
      <w:r>
        <w:t>为</w:t>
      </w:r>
      <w:r>
        <w:t>0.8332</w:t>
      </w:r>
      <w:r>
        <w:t>、</w:t>
      </w:r>
      <w:proofErr w:type="spellStart"/>
      <w:r>
        <w:t>Chemprop</w:t>
      </w:r>
      <w:proofErr w:type="spellEnd"/>
      <w:r>
        <w:t>基线</w:t>
      </w:r>
      <w:r>
        <w:t>PRC</w:t>
      </w:r>
      <w:r>
        <w:t>为</w:t>
      </w:r>
      <w:r>
        <w:t>0.8045</w:t>
      </w:r>
      <w:r>
        <w:t>。这些结果用于说明结构特征充分时传统机器学习模型的竞争力，</w:t>
      </w:r>
      <w:r>
        <w:lastRenderedPageBreak/>
        <w:t>不用于替代</w:t>
      </w:r>
      <w:r>
        <w:t>Gaussian-138</w:t>
      </w:r>
      <w:r>
        <w:t>小样本下的量子化学描述符分析。</w:t>
      </w:r>
    </w:p>
    <w:p w14:paraId="174ECBF4" w14:textId="77777777" w:rsidR="00793432" w:rsidRDefault="00000000">
      <w:r>
        <w:t>需要强调的是，该全量实验中的传统机器学习模型仅使用</w:t>
      </w:r>
      <w:proofErr w:type="spellStart"/>
      <w:r>
        <w:t>RDKit</w:t>
      </w:r>
      <w:proofErr w:type="spellEnd"/>
      <w:r>
        <w:t>原子结构特征，并未注入</w:t>
      </w:r>
      <w:r>
        <w:t>Gaussian</w:t>
      </w:r>
      <w:r>
        <w:t>量子化学量；相应的</w:t>
      </w:r>
      <w:proofErr w:type="spellStart"/>
      <w:r>
        <w:t>Chemprop</w:t>
      </w:r>
      <w:proofErr w:type="spellEnd"/>
      <w:r>
        <w:t>基线同样未引入本文新增的反应性描述符。因此该结果回答的是结构特征条件下传统机器学习相对图神经网络是否具备竞争力，而不是对</w:t>
      </w:r>
      <w:r>
        <w:t>Gaussian-138</w:t>
      </w:r>
      <w:r>
        <w:t>小样本量子化学描述符实验的替代。</w:t>
      </w:r>
    </w:p>
    <w:p w14:paraId="44F30A29" w14:textId="77777777" w:rsidR="00793432" w:rsidRDefault="00000000">
      <w:r>
        <w:t>全量</w:t>
      </w:r>
      <w:r>
        <w:t xml:space="preserve"> USPTO-50k </w:t>
      </w:r>
      <w:r>
        <w:t>反应位点数据集对照中的</w:t>
      </w:r>
      <w:r>
        <w:t xml:space="preserve"> Logistic Regression </w:t>
      </w:r>
      <w:r>
        <w:t>与</w:t>
      </w:r>
      <w:r>
        <w:t xml:space="preserve"> SGD Logistic </w:t>
      </w:r>
      <w:r>
        <w:t>表现明显落后于其他模型，</w:t>
      </w:r>
      <w:r>
        <w:t xml:space="preserve">PRC </w:t>
      </w:r>
      <w:r>
        <w:t>分别仅为</w:t>
      </w:r>
      <w:r>
        <w:t xml:space="preserve"> 0.2820 </w:t>
      </w:r>
      <w:r>
        <w:t>与</w:t>
      </w:r>
      <w:r>
        <w:t xml:space="preserve"> 0.2903</w:t>
      </w:r>
      <w:r>
        <w:t>，</w:t>
      </w:r>
      <w:r>
        <w:t xml:space="preserve">Best F1 </w:t>
      </w:r>
      <w:r>
        <w:t>亦仅为</w:t>
      </w:r>
      <w:r>
        <w:t xml:space="preserve"> 0.31~0.32</w:t>
      </w:r>
      <w:r>
        <w:t>。该现象与</w:t>
      </w:r>
      <w:r>
        <w:t xml:space="preserve"> Gaussian-138 </w:t>
      </w:r>
      <w:r>
        <w:t>小样本下的观察一致：线性模型在原子级反应位点这一非线性问题上结构能力不足，难以拟合不同取代基与位置之间的复杂交互。论文将这两个模型作为弱基线列出，主要用于呈现</w:t>
      </w:r>
      <w:r>
        <w:t xml:space="preserve"> PRC </w:t>
      </w:r>
      <w:r>
        <w:t>指标的下界，并非作为实际推荐模型。</w:t>
      </w:r>
    </w:p>
    <w:p w14:paraId="3AD99B6A" w14:textId="77777777" w:rsidR="00793432" w:rsidRDefault="00000000">
      <w:r>
        <w:t xml:space="preserve">Random Forest </w:t>
      </w:r>
      <w:r>
        <w:t>与</w:t>
      </w:r>
      <w:r>
        <w:t xml:space="preserve"> </w:t>
      </w:r>
      <w:proofErr w:type="spellStart"/>
      <w:r>
        <w:t>HistGradientBoosting</w:t>
      </w:r>
      <w:proofErr w:type="spellEnd"/>
      <w:r>
        <w:t xml:space="preserve"> </w:t>
      </w:r>
      <w:r>
        <w:t>之间的差异亦具有参考意义。两者</w:t>
      </w:r>
      <w:r>
        <w:t xml:space="preserve"> PRC </w:t>
      </w:r>
      <w:r>
        <w:t>分别为</w:t>
      </w:r>
      <w:r>
        <w:t xml:space="preserve"> 0.8721 </w:t>
      </w:r>
      <w:r>
        <w:t>与</w:t>
      </w:r>
      <w:r>
        <w:t xml:space="preserve"> 0.8639</w:t>
      </w:r>
      <w:r>
        <w:t>，差异较小。</w:t>
      </w:r>
      <w:proofErr w:type="spellStart"/>
      <w:r>
        <w:t>HistGradientBoosting</w:t>
      </w:r>
      <w:proofErr w:type="spellEnd"/>
      <w:r>
        <w:t xml:space="preserve"> </w:t>
      </w:r>
      <w:r>
        <w:t>在大数据集下训练速度更快、内存占用更低，是</w:t>
      </w:r>
      <w:r>
        <w:t xml:space="preserve"> Random Forest </w:t>
      </w:r>
      <w:r>
        <w:t>的可替换工程选择。</w:t>
      </w:r>
      <w:r>
        <w:t xml:space="preserve">Extra Trees </w:t>
      </w:r>
      <w:r>
        <w:t>的</w:t>
      </w:r>
      <w:r>
        <w:t xml:space="preserve"> PRC </w:t>
      </w:r>
      <w:r>
        <w:t>略低（</w:t>
      </w:r>
      <w:r>
        <w:t>0.8332</w:t>
      </w:r>
      <w:r>
        <w:t>），但</w:t>
      </w:r>
      <w:r>
        <w:t xml:space="preserve"> ROC-AUC </w:t>
      </w:r>
      <w:r>
        <w:t>与</w:t>
      </w:r>
      <w:r>
        <w:t xml:space="preserve"> </w:t>
      </w:r>
      <w:proofErr w:type="spellStart"/>
      <w:r>
        <w:t>Hit@K</w:t>
      </w:r>
      <w:proofErr w:type="spellEnd"/>
      <w:r>
        <w:t xml:space="preserve"> </w:t>
      </w:r>
      <w:r>
        <w:t>与前两者相当，表明在结构特征驱动的反应位点任务上，多种</w:t>
      </w:r>
      <w:r>
        <w:t xml:space="preserve"> ensemble </w:t>
      </w:r>
      <w:r>
        <w:t>树模型可共同构成一组强基线，差距主要体现在精细化指标上。</w:t>
      </w:r>
    </w:p>
    <w:p w14:paraId="492C0727" w14:textId="77777777" w:rsidR="00793432" w:rsidRDefault="00000000">
      <w:pPr>
        <w:pStyle w:val="2"/>
        <w:spacing w:line="360" w:lineRule="auto"/>
        <w:ind w:firstLineChars="0" w:firstLine="0"/>
      </w:pPr>
      <w:bookmarkStart w:id="27" w:name="_Toc4768"/>
      <w:r>
        <w:t>5.6</w:t>
      </w:r>
      <w:r>
        <w:t>结果讨论</w:t>
      </w:r>
      <w:bookmarkEnd w:id="27"/>
    </w:p>
    <w:p w14:paraId="391B2E3F" w14:textId="77777777" w:rsidR="00793432" w:rsidRDefault="00000000">
      <w:r>
        <w:t>综合各组实验，本文得到四点认识。其一，在</w:t>
      </w:r>
      <w:r>
        <w:t xml:space="preserve"> Gaussian-138 </w:t>
      </w:r>
      <w:r>
        <w:t>小样本条件下，</w:t>
      </w:r>
      <w:r>
        <w:t xml:space="preserve">Random Forest </w:t>
      </w:r>
      <w:r>
        <w:t>与</w:t>
      </w:r>
      <w:r>
        <w:t xml:space="preserve"> Extra Trees </w:t>
      </w:r>
      <w:r>
        <w:t>等树模型最为稳健，其优势主要体现在以少量经过精心设计的人工特征即可达到较高</w:t>
      </w:r>
      <w:r>
        <w:t xml:space="preserve"> PRC</w:t>
      </w:r>
      <w:r>
        <w:t>。</w:t>
      </w:r>
      <w:r>
        <w:t>“</w:t>
      </w:r>
      <w:r>
        <w:t>酚类结构</w:t>
      </w:r>
      <w:r>
        <w:t xml:space="preserve"> + </w:t>
      </w:r>
      <w:r>
        <w:t>绝对电荷</w:t>
      </w:r>
      <w:r>
        <w:t>”</w:t>
      </w:r>
      <w:r>
        <w:t>这一相对精简的组合在</w:t>
      </w:r>
      <w:r>
        <w:t xml:space="preserve"> Random Forest </w:t>
      </w:r>
      <w:r>
        <w:t>上取得</w:t>
      </w:r>
      <w:r>
        <w:t xml:space="preserve"> 0.8585 </w:t>
      </w:r>
      <w:r>
        <w:t>的</w:t>
      </w:r>
      <w:r>
        <w:t xml:space="preserve"> PRC</w:t>
      </w:r>
      <w:r>
        <w:t>，再继续叠加</w:t>
      </w:r>
      <w:r>
        <w:t xml:space="preserve"> NICS </w:t>
      </w:r>
      <w:r>
        <w:t>后</w:t>
      </w:r>
      <w:r>
        <w:t xml:space="preserve"> PRC </w:t>
      </w:r>
      <w:r>
        <w:t>仅为</w:t>
      </w:r>
      <w:r>
        <w:t xml:space="preserve"> 0.8579</w:t>
      </w:r>
      <w:r>
        <w:t>，提升不再明显，说明在小样本下盲目堆叠更复杂的电子结构特征对树模型并非线性增益，甚至可能因冗余特征引入噪声而出现边际下降。其二，酚类领域特征、</w:t>
      </w:r>
      <w:r>
        <w:t xml:space="preserve">Gaussian </w:t>
      </w:r>
      <w:r>
        <w:t>电荷、</w:t>
      </w:r>
      <w:r>
        <w:t xml:space="preserve">Fukui </w:t>
      </w:r>
      <w:r>
        <w:t>与</w:t>
      </w:r>
      <w:r>
        <w:t xml:space="preserve"> NICS </w:t>
      </w:r>
      <w:r>
        <w:t>均提供了正向信息，但其作用方式因模型而异：树模型偏好少量且区分度高的人工特征，图神经网络则随着可用描述符增加而持续受益。其三，</w:t>
      </w:r>
      <w:proofErr w:type="spellStart"/>
      <w:r>
        <w:t>Chemprop</w:t>
      </w:r>
      <w:proofErr w:type="spellEnd"/>
      <w:r>
        <w:t xml:space="preserve"> </w:t>
      </w:r>
      <w:r>
        <w:t>在</w:t>
      </w:r>
      <w:r>
        <w:t xml:space="preserve"> Gaussian-138 </w:t>
      </w:r>
      <w:r>
        <w:t>上的最高</w:t>
      </w:r>
      <w:r>
        <w:t xml:space="preserve"> PRC 0.7344 </w:t>
      </w:r>
      <w:r>
        <w:t>出现在全融合特征组合下，高于此前仅含酚类结构与</w:t>
      </w:r>
      <w:r>
        <w:t xml:space="preserve"> Fukui </w:t>
      </w:r>
      <w:r>
        <w:t>的强基线，表明特</w:t>
      </w:r>
      <w:r>
        <w:lastRenderedPageBreak/>
        <w:t>征复杂度上升时，图神经网络的拟合能力反而有更大的发挥空间。其四，模型与特征存在适配关系：在样本规模有限、特征经过精挑细选时，传统机器学习更具优势；而当特征空间扩大或样本规模显著上升时，图神经网络的端到端学习能力开始展现长处。</w:t>
      </w:r>
    </w:p>
    <w:p w14:paraId="62CA00E0" w14:textId="140396EA" w:rsidR="00793432" w:rsidRDefault="00000000">
      <w:r>
        <w:t>另一方面，当前</w:t>
      </w:r>
      <w:r>
        <w:t xml:space="preserve"> Gaussian </w:t>
      </w:r>
      <w:r>
        <w:t>特征主要集中于电荷与少量分子级全局量，尚未系统涵盖键级、键长、</w:t>
      </w:r>
      <w:r>
        <w:t xml:space="preserve">C-H </w:t>
      </w:r>
      <w:r>
        <w:t>键解离能、过渡态势垒、</w:t>
      </w:r>
      <w:r>
        <w:t xml:space="preserve">NMR </w:t>
      </w:r>
      <w:r>
        <w:t>屏蔽与溶剂化自由能等特征。</w:t>
      </w:r>
      <w:r>
        <w:fldChar w:fldCharType="begin"/>
      </w:r>
      <w:r>
        <w:instrText xml:space="preserve"> ADDIN ZOTERO_ITEM CSL_CITATION {"citationID":"0xJPB0CD","properties":{"formattedCitation":"\\super [24]\\nosupersub{}","plainCitation":"[24]","noteIndex":0},"citationItems":[{"id":66,"uris":["http://zotero.org/users/20482611/items/2A5VFEZK"],"itemData":{"id":66,"type":"webpage","citation-key":"ClusterContinuumModelCalculation","title":"The Cluster−Continuum Model for the Calculation of the Solvation Free Energy of Ionic Species | The Journal of Physical Chemistry A","URL":"https://pubs.acs.org/doi/abs/10.1021/jp004192w","accessed":{"date-parts":[["2026",5,30]]}}}],"schema":"https://github.com/citation-style-language/schema/raw/master/csl-citation.json"} </w:instrText>
      </w:r>
      <w:r>
        <w:fldChar w:fldCharType="separate"/>
      </w:r>
      <w:r w:rsidR="00820675" w:rsidRPr="00820675">
        <w:rPr>
          <w:rFonts w:cs="Times New Roman"/>
          <w:kern w:val="0"/>
          <w:vertAlign w:val="superscript"/>
        </w:rPr>
        <w:t>[24]</w:t>
      </w:r>
      <w:r>
        <w:fldChar w:fldCharType="end"/>
      </w:r>
      <w:r>
        <w:t>因此，</w:t>
      </w:r>
      <w:r>
        <w:t xml:space="preserve">Gaussian </w:t>
      </w:r>
      <w:r>
        <w:t>特征增益较小可以理解。后续若要进一步提高模型解释能力，应优先补充与自由基反应活性更直接相关的描述符，而非单纯增加训练轮数。</w:t>
      </w:r>
    </w:p>
    <w:p w14:paraId="7A9070FB" w14:textId="4D993125" w:rsidR="00793432" w:rsidRDefault="00000000">
      <w:pPr>
        <w:ind w:firstLineChars="0" w:firstLine="420"/>
      </w:pPr>
      <w:r>
        <w:t>另一值得讨论的角度是数据规模与特征复杂度对模型选择的影响。在</w:t>
      </w:r>
      <w:r>
        <w:t xml:space="preserve"> 138 </w:t>
      </w:r>
      <w:r>
        <w:t>个分子的小样本与精简特征组合下，</w:t>
      </w:r>
      <w:r>
        <w:t xml:space="preserve">Random Forest </w:t>
      </w:r>
      <w:r>
        <w:t>训练快、可解释性强、对特征数量敏感度低，是当前阶段较为合适的工程候选；其性能依赖于少量但与机理紧密对应的人工特征，而非更高维的描述符堆叠。</w:t>
      </w:r>
      <w:proofErr w:type="spellStart"/>
      <w:r>
        <w:t>Chemprop</w:t>
      </w:r>
      <w:proofErr w:type="spellEnd"/>
      <w:r>
        <w:t xml:space="preserve"> </w:t>
      </w:r>
      <w:r>
        <w:t>在该规模下的</w:t>
      </w:r>
      <w:r>
        <w:t xml:space="preserve"> PRC </w:t>
      </w:r>
      <w:r>
        <w:t>明显低于</w:t>
      </w:r>
      <w:r>
        <w:t xml:space="preserve"> Random Forest</w:t>
      </w:r>
      <w:r>
        <w:t>，但其原子描述符注入接口能够同时容纳结构、电荷、</w:t>
      </w:r>
      <w:r>
        <w:t>Fukui</w:t>
      </w:r>
      <w:r>
        <w:t>、</w:t>
      </w:r>
      <w:r>
        <w:t xml:space="preserve">NICS </w:t>
      </w:r>
      <w:r>
        <w:t>等多源信息，并通过消息传递将其融合到分子图的局部表征中，因此特征数量越多、电子结构信息越丰富时，</w:t>
      </w:r>
      <w:proofErr w:type="spellStart"/>
      <w:r>
        <w:t>Chemprop</w:t>
      </w:r>
      <w:proofErr w:type="spellEnd"/>
      <w:r>
        <w:t xml:space="preserve"> </w:t>
      </w:r>
      <w:r>
        <w:t>的相对收益越显著。</w:t>
      </w:r>
      <w:r>
        <w:fldChar w:fldCharType="begin"/>
      </w:r>
      <w:r>
        <w:instrText xml:space="preserve"> ADDIN ZOTERO_ITEM CSL_CITATION {"citationID":"jVb3eq17","properties":{"formattedCitation":"\\super [23,9]\\nosupersub{}","plainCitation":"[23,9]","noteIndex":0},"citationItems":[{"id":76,"uris":["http://zotero.org/users/20482611/items/ATE47N35"],"itemData":{"id":76,"type":"article-journal","abstract":"Characterizing uncertainty in machine learning models has recently gained interest in the context of machine learning reliability, robustness, safety, and active learning. Here, we separate the total uncertainty into contributions from noise in the data (aleatoric) and shortcomings of the model (epistemic), further dividing epistemic uncertainty into model bias and variance contributions. We systematically address the influence of noise, model bias, and model variance in the context of chemical property predictions, where the diverse nature of target properties and the vast chemical chemical space give rise to many different distinct sources of prediction error. We demonstrate that different sources of error can each be significant in different contexts and must be individually addressed during model development. Through controlled experiments on data sets of molecular properties, we show important trends in model performance associated with the level of noise in the data set, size of the data set, model architecture, molecule representation, ensemble size, and data set splitting. In particular, we show that 1) noise in the test set can limit a model’s observed performance when the actual performance is much better, 2) using size-extensive model aggregation structures is crucial for extensive property prediction, and 3) ensembling is a reliable tool for uncertainty quantification and improvement specifically for the contribution of model variance. We develop general guidelines on how to improve an underperforming model when falling into different uncertainty contexts.","citation-key":"heidCharacterizingUncertaintyMachine2023","container-title":"Journal of Chemical Information and Modeling","DOI":"10.1021/acs.jcim.3c00373","ISSN":"1549-9596","issue":"13","journalAbbreviation":"J. Chem. Inf. Model.","page":"4012-4029","publisher":"American Chemical Society","source":"ACS Publications","title":"Characterizing Uncertainty in Machine Learning for Chemistry","volume":"63","author":[{"family":"Heid","given":"Esther"},{"family":"McGill","given":"Charles J."},{"family":"Vermeire","given":"Florence H."},{"family":"Green","given":"William H."}],"issued":{"date-parts":[["2023",7,10]]}}},{"id":78,"uris":["http://zotero.org/users/20482611/items/TCSPXFTY"],"itemData":{"id":78,"type":"webpage","citation-key":"QuantumChemistryaugmentedNeural","title":"Quantum chemistry-augmented neural networks for reactivity prediction: Performance, generalizability, and explainability | The Journal of Chemical Physics | AIP Publishing","URL":"https://pubs.aip.org/aip/jcp/article/156/8/084104/2840771","accessed":{"date-parts":[["2026",5,30]]}}}],"schema":"https://github.com/citation-style-language/schema/raw/master/csl-citation.json"} </w:instrText>
      </w:r>
      <w:r>
        <w:fldChar w:fldCharType="separate"/>
      </w:r>
      <w:r w:rsidR="00820675" w:rsidRPr="00820675">
        <w:rPr>
          <w:rFonts w:cs="Times New Roman"/>
          <w:kern w:val="0"/>
          <w:vertAlign w:val="superscript"/>
        </w:rPr>
        <w:t>[23,9]</w:t>
      </w:r>
      <w:r>
        <w:fldChar w:fldCharType="end"/>
      </w:r>
      <w:r>
        <w:t>在全量</w:t>
      </w:r>
      <w:r>
        <w:t xml:space="preserve"> USPTO-50k </w:t>
      </w:r>
      <w:r>
        <w:t>反应位点数据集（约</w:t>
      </w:r>
      <w:r>
        <w:t xml:space="preserve"> 5 </w:t>
      </w:r>
      <w:r>
        <w:t>万分子）上，结构特征已足以使传统机器学习获得高</w:t>
      </w:r>
      <w:r>
        <w:t xml:space="preserve"> PRC</w:t>
      </w:r>
      <w:r>
        <w:t>，但这一规模也是图神经网络发挥端到端建模能力的常见区间，随着数据量与特征复杂度的进一步上升，传统机器学习的边际增益会被人工特征容量约束，而</w:t>
      </w:r>
      <w:r>
        <w:t xml:space="preserve"> </w:t>
      </w:r>
      <w:proofErr w:type="spellStart"/>
      <w:r>
        <w:t>Chemprop</w:t>
      </w:r>
      <w:proofErr w:type="spellEnd"/>
      <w:r>
        <w:t xml:space="preserve"> </w:t>
      </w:r>
      <w:r>
        <w:t>凭借从分子图直接学习原子</w:t>
      </w:r>
      <w:r>
        <w:t>–</w:t>
      </w:r>
      <w:r>
        <w:t>键交互的能力更可能突破这一上限。因此本文将</w:t>
      </w:r>
      <w:r>
        <w:t xml:space="preserve"> Random Forest </w:t>
      </w:r>
      <w:r>
        <w:t>视为小样本条件下的稳健工程方案，将</w:t>
      </w:r>
      <w:r>
        <w:t xml:space="preserve"> </w:t>
      </w:r>
      <w:proofErr w:type="spellStart"/>
      <w:r>
        <w:t>Chemprop</w:t>
      </w:r>
      <w:proofErr w:type="spellEnd"/>
      <w:r>
        <w:t xml:space="preserve"> </w:t>
      </w:r>
      <w:r>
        <w:t>视为在更大数据规模与更丰富特征下具备扩展潜力的图模型方案，二者互为补充。</w:t>
      </w:r>
    </w:p>
    <w:p w14:paraId="124B44B3" w14:textId="77777777" w:rsidR="00793432" w:rsidRDefault="00000000">
      <w:pPr>
        <w:spacing w:line="400" w:lineRule="atLeast"/>
        <w:sectPr w:rsidR="00793432">
          <w:headerReference w:type="default" r:id="rId44"/>
          <w:pgSz w:w="11906" w:h="16838"/>
          <w:pgMar w:top="1440" w:right="1797" w:bottom="1440" w:left="1797" w:header="850" w:footer="992" w:gutter="0"/>
          <w:cols w:space="720"/>
        </w:sectPr>
      </w:pPr>
      <w:r>
        <w:br w:type="page"/>
      </w:r>
    </w:p>
    <w:p w14:paraId="6C972FB6" w14:textId="77777777" w:rsidR="00793432" w:rsidRDefault="00000000">
      <w:pPr>
        <w:pStyle w:val="1"/>
        <w:spacing w:line="360" w:lineRule="auto"/>
        <w:ind w:firstLine="643"/>
      </w:pPr>
      <w:bookmarkStart w:id="28" w:name="_Toc18445"/>
      <w:r>
        <w:lastRenderedPageBreak/>
        <w:t>第</w:t>
      </w:r>
      <w:r>
        <w:t>6</w:t>
      </w:r>
      <w:r>
        <w:t>章结论与展望</w:t>
      </w:r>
      <w:bookmarkEnd w:id="28"/>
    </w:p>
    <w:p w14:paraId="7F0E4B28" w14:textId="77777777" w:rsidR="00793432" w:rsidRDefault="00000000">
      <w:pPr>
        <w:pStyle w:val="2"/>
        <w:spacing w:line="360" w:lineRule="auto"/>
        <w:ind w:firstLineChars="0" w:firstLine="0"/>
      </w:pPr>
      <w:bookmarkStart w:id="29" w:name="_Toc17047"/>
      <w:r>
        <w:t>6.1</w:t>
      </w:r>
      <w:r>
        <w:t>主要结论</w:t>
      </w:r>
      <w:bookmarkEnd w:id="29"/>
    </w:p>
    <w:p w14:paraId="6266290D" w14:textId="77777777" w:rsidR="00793432" w:rsidRDefault="00000000">
      <w:r>
        <w:t>本文基于</w:t>
      </w:r>
      <w:r>
        <w:t>Gaussian</w:t>
      </w:r>
      <w:r>
        <w:t>量子化学计算、</w:t>
      </w:r>
      <w:proofErr w:type="spellStart"/>
      <w:r>
        <w:t>Chemprop</w:t>
      </w:r>
      <w:proofErr w:type="spellEnd"/>
      <w:r>
        <w:t>图神经网络和五种传统机器学习模型，构建了酚类污染物自由基反应活性预测与关键位点识别流程。通过数据审计，研究整合得到</w:t>
      </w:r>
      <w:r>
        <w:t>138</w:t>
      </w:r>
      <w:r>
        <w:t>个可用分子样本和</w:t>
      </w:r>
      <w:r>
        <w:t>2509</w:t>
      </w:r>
      <w:r>
        <w:t>个重原子样本，正类比例为</w:t>
      </w:r>
      <w:r>
        <w:t>11.3%</w:t>
      </w:r>
      <w:r>
        <w:t>；并进一步完成</w:t>
      </w:r>
      <w:r>
        <w:t>NPA/Mulliken</w:t>
      </w:r>
      <w:r>
        <w:t>电荷、派生电荷特征、酚类结构特征、</w:t>
      </w:r>
      <w:r>
        <w:t>Fukui</w:t>
      </w:r>
      <w:r>
        <w:t>三态特征和</w:t>
      </w:r>
      <w:r>
        <w:t>NICS</w:t>
      </w:r>
      <w:r>
        <w:t>芳香性特征的建模应用。</w:t>
      </w:r>
    </w:p>
    <w:p w14:paraId="0441CABE" w14:textId="77777777" w:rsidR="00793432" w:rsidRDefault="00000000">
      <w:r>
        <w:t>在</w:t>
      </w:r>
      <w:r>
        <w:t>Gaussian-138</w:t>
      </w:r>
      <w:r>
        <w:t>小样本实验中，</w:t>
      </w:r>
      <w:proofErr w:type="spellStart"/>
      <w:r>
        <w:t>Chemprop</w:t>
      </w:r>
      <w:proofErr w:type="spellEnd"/>
      <w:r>
        <w:t>在全融合特征组合下取得最高</w:t>
      </w:r>
      <w:r>
        <w:t>Test PRC 0.7344</w:t>
      </w:r>
      <w:r>
        <w:t>，超过此前酚类结构</w:t>
      </w:r>
      <w:r>
        <w:t>+Fukui</w:t>
      </w:r>
      <w:r>
        <w:t>组合的</w:t>
      </w:r>
      <w:r>
        <w:t>0.7256</w:t>
      </w:r>
      <w:r>
        <w:t>；传统机器学习侧，</w:t>
      </w:r>
      <w:r>
        <w:t>Random Forest</w:t>
      </w:r>
      <w:r>
        <w:t>在酚类结构</w:t>
      </w:r>
      <w:r>
        <w:t>+</w:t>
      </w:r>
      <w:r>
        <w:t>绝对电荷组合下取得</w:t>
      </w:r>
      <w:r>
        <w:t>PRC 0.8585</w:t>
      </w:r>
      <w:r>
        <w:t>、</w:t>
      </w:r>
      <w:r>
        <w:t>Best F1 0.8131</w:t>
      </w:r>
      <w:r>
        <w:t>、</w:t>
      </w:r>
      <w:r>
        <w:t>Hit@1 0.8929</w:t>
      </w:r>
      <w:r>
        <w:t>和</w:t>
      </w:r>
      <w:r>
        <w:t>Hit@3 0.9643</w:t>
      </w:r>
      <w:r>
        <w:t>，为本文小样本条件下较为稳健的最优模型。</w:t>
      </w:r>
      <w:r>
        <w:t>NICS</w:t>
      </w:r>
      <w:r>
        <w:t>叠加后可进一步提高</w:t>
      </w:r>
      <w:r>
        <w:t>Random Forest</w:t>
      </w:r>
      <w:r>
        <w:t>的</w:t>
      </w:r>
      <w:r>
        <w:t>Best F1</w:t>
      </w:r>
      <w:r>
        <w:t>，说明其对阈值附近的精度</w:t>
      </w:r>
      <w:r>
        <w:t>-</w:t>
      </w:r>
      <w:r>
        <w:t>召回平衡具有补充作用。</w:t>
      </w:r>
    </w:p>
    <w:p w14:paraId="6B0B8787" w14:textId="77777777" w:rsidR="00793432" w:rsidRDefault="00000000">
      <w:r>
        <w:t xml:space="preserve">Fukui </w:t>
      </w:r>
      <w:r>
        <w:t>与</w:t>
      </w:r>
      <w:r>
        <w:t xml:space="preserve"> NICS </w:t>
      </w:r>
      <w:r>
        <w:t>补充实验显示，反应性描述符对</w:t>
      </w:r>
      <w:r>
        <w:t xml:space="preserve"> </w:t>
      </w:r>
      <w:proofErr w:type="spellStart"/>
      <w:r>
        <w:t>Chemprop</w:t>
      </w:r>
      <w:proofErr w:type="spellEnd"/>
      <w:r>
        <w:t xml:space="preserve"> </w:t>
      </w:r>
      <w:r>
        <w:t>与</w:t>
      </w:r>
      <w:r>
        <w:t xml:space="preserve"> Random Forest </w:t>
      </w:r>
      <w:r>
        <w:t>的作用方向不一致：</w:t>
      </w:r>
      <w:r>
        <w:t xml:space="preserve">Fukui </w:t>
      </w:r>
      <w:r>
        <w:t>在</w:t>
      </w:r>
      <w:r>
        <w:t xml:space="preserve"> </w:t>
      </w:r>
      <w:proofErr w:type="spellStart"/>
      <w:r>
        <w:t>Chemprop</w:t>
      </w:r>
      <w:proofErr w:type="spellEnd"/>
      <w:r>
        <w:t xml:space="preserve"> </w:t>
      </w:r>
      <w:r>
        <w:t>中带来连续正向增益，叠加</w:t>
      </w:r>
      <w:r>
        <w:t xml:space="preserve"> NICS </w:t>
      </w:r>
      <w:r>
        <w:t>后达到全局最优；在</w:t>
      </w:r>
      <w:r>
        <w:t xml:space="preserve"> Random Forest </w:t>
      </w:r>
      <w:r>
        <w:t>中</w:t>
      </w:r>
      <w:r>
        <w:t xml:space="preserve"> Fukui </w:t>
      </w:r>
      <w:r>
        <w:t>单独略低于其他强基线，</w:t>
      </w:r>
      <w:r>
        <w:t xml:space="preserve">NICS </w:t>
      </w:r>
      <w:r>
        <w:t>主要改善</w:t>
      </w:r>
      <w:r>
        <w:t xml:space="preserve"> Best F1</w:t>
      </w:r>
      <w:r>
        <w:t>。这表明反应性更强的量子化学描述符更适合作为图神经网络的原子描述符补充，并非对所有模型同等有效；特征与模型结构之间的适配关系在选型时不可忽略。</w:t>
      </w:r>
    </w:p>
    <w:p w14:paraId="345B4233" w14:textId="77777777" w:rsidR="00793432" w:rsidRDefault="00000000">
      <w:r>
        <w:t>全量</w:t>
      </w:r>
      <w:r>
        <w:t xml:space="preserve"> USPTO-50k </w:t>
      </w:r>
      <w:r>
        <w:t>反应位点数据集对照实验显示，基于</w:t>
      </w:r>
      <w:proofErr w:type="spellStart"/>
      <w:r>
        <w:t>RDKit</w:t>
      </w:r>
      <w:proofErr w:type="spellEnd"/>
      <w:r>
        <w:t>结构特征的</w:t>
      </w:r>
      <w:r>
        <w:t>Random Forest PRC</w:t>
      </w:r>
      <w:r>
        <w:t>为</w:t>
      </w:r>
      <w:r>
        <w:t>0.8721</w:t>
      </w:r>
      <w:r>
        <w:t>，</w:t>
      </w:r>
      <w:proofErr w:type="spellStart"/>
      <w:r>
        <w:t>HistGradientBoosting</w:t>
      </w:r>
      <w:proofErr w:type="spellEnd"/>
      <w:r>
        <w:t>为</w:t>
      </w:r>
      <w:r>
        <w:t>0.8639</w:t>
      </w:r>
      <w:r>
        <w:t>，</w:t>
      </w:r>
      <w:r>
        <w:t>Extra Trees</w:t>
      </w:r>
      <w:r>
        <w:t>为</w:t>
      </w:r>
      <w:r>
        <w:t>0.8332</w:t>
      </w:r>
      <w:r>
        <w:t>，均高于既有</w:t>
      </w:r>
      <w:proofErr w:type="spellStart"/>
      <w:r>
        <w:t>Chemprop</w:t>
      </w:r>
      <w:proofErr w:type="spellEnd"/>
      <w:r>
        <w:t>基线的</w:t>
      </w:r>
      <w:r>
        <w:t>0.8045</w:t>
      </w:r>
      <w:r>
        <w:t>。这表明在原子级展开与结构特征充分设计的前提下，传统机器学习模型可作为反应位点预测任务的强基线；同时也提示，深度图神经网络在更大数据规模与更合适原子描述符注入下仍具有潜力。</w:t>
      </w:r>
    </w:p>
    <w:p w14:paraId="2C07779E" w14:textId="77777777" w:rsidR="00793432" w:rsidRDefault="00000000">
      <w:r>
        <w:t>本文方法可概括为四个层面：数据层面强调样本审计和原子对齐；特征层面区分通用结构特征、量子化学描述符和酚类领域特征；模型层面同时比较图神经网络与传统机器学习，避免单一模型造成结论偏置；评价层面以</w:t>
      </w:r>
      <w:r>
        <w:t>PRC</w:t>
      </w:r>
      <w:r>
        <w:t>和</w:t>
      </w:r>
      <w:proofErr w:type="spellStart"/>
      <w:r>
        <w:t>Hit@K</w:t>
      </w:r>
      <w:proofErr w:type="spellEnd"/>
      <w:r>
        <w:t>为主，兼顾原子级分类和分子内排序能力。该流程可为其他原子级反应活性预测</w:t>
      </w:r>
      <w:r>
        <w:lastRenderedPageBreak/>
        <w:t>任务提供方法参考。</w:t>
      </w:r>
    </w:p>
    <w:p w14:paraId="3584C11D" w14:textId="77777777" w:rsidR="00793432" w:rsidRDefault="00000000">
      <w:r>
        <w:t>研究结果表明，模型与特征的适配关系受样本规模与特征复杂度共同支配。在</w:t>
      </w:r>
      <w:r>
        <w:t xml:space="preserve"> Gaussian-138 </w:t>
      </w:r>
      <w:r>
        <w:t>这样的小样本条件下，少量经过精心设计的人工特征就能让传统机器学习取得稳健性能，继续堆叠复杂的电子结构特征对树模型的边际增益有限，甚至会因冗余信息引入噪声；相反，</w:t>
      </w:r>
      <w:proofErr w:type="spellStart"/>
      <w:r>
        <w:t>Chemprop</w:t>
      </w:r>
      <w:proofErr w:type="spellEnd"/>
      <w:r>
        <w:t xml:space="preserve"> </w:t>
      </w:r>
      <w:r>
        <w:t>等图神经网络对特征数量更不敏感，随着</w:t>
      </w:r>
      <w:r>
        <w:t xml:space="preserve"> Gaussian </w:t>
      </w:r>
      <w:r>
        <w:t>电荷、</w:t>
      </w:r>
      <w:r>
        <w:t xml:space="preserve">Fukui </w:t>
      </w:r>
      <w:r>
        <w:t>与</w:t>
      </w:r>
      <w:r>
        <w:t xml:space="preserve"> NICS </w:t>
      </w:r>
      <w:r>
        <w:t>等描述符的逐步加入而持续受益。当数据规模扩展至</w:t>
      </w:r>
      <w:r>
        <w:t xml:space="preserve"> USPTO-50k </w:t>
      </w:r>
      <w:r>
        <w:t>全量约</w:t>
      </w:r>
      <w:r>
        <w:t xml:space="preserve"> 5 </w:t>
      </w:r>
      <w:r>
        <w:t>万分子的水平，结构特征已可以支撑传统机器学习取得高</w:t>
      </w:r>
      <w:r>
        <w:t xml:space="preserve"> PRC</w:t>
      </w:r>
      <w:r>
        <w:t>，但这同样是图神经网络发挥端到端表达能力的常见区间；可以预期，当样本规模或特征复杂度进一步上升时，图神经网络的拟合能力将更容易超过依赖人工特征的传统机器学习模型。因此，对反应位点这类原子级任务而言，小样本</w:t>
      </w:r>
      <w:r>
        <w:t>+</w:t>
      </w:r>
      <w:r>
        <w:t>精简人工特征下应优先选择传统机器学习以保证稳健，而面向更大规模数据或更丰富量子化学描述符的研究场景，图神经网络更有可能成为后续工作的主力模型。</w:t>
      </w:r>
    </w:p>
    <w:p w14:paraId="40F151C6" w14:textId="77777777" w:rsidR="00793432" w:rsidRDefault="00000000">
      <w:r>
        <w:t>从环境工程应用角度看，本文所建立的模型可用于在大量候选酚类污染物中筛选潜在高反应活性位点，为后续量子化学精算、实验产物鉴定和高级氧化工艺参数优化提供优先级依据。但本文结论仍限定于当前数据集和评价口径，尚不能直接外推至所有酚类污染物或所有自由基体系。</w:t>
      </w:r>
    </w:p>
    <w:p w14:paraId="04DAE36A" w14:textId="77777777" w:rsidR="00793432" w:rsidRDefault="00000000">
      <w:r>
        <w:t>本文将结构特征、量子化学反应性指标和模型解释放在同一框架下讨论。不同之处在于，本文关注的是原子级反应位点而非整体降解速率，因此更强调原子顺序、局部电荷和分子内</w:t>
      </w:r>
      <w:r>
        <w:t>Top-K</w:t>
      </w:r>
      <w:r>
        <w:t>排序。</w:t>
      </w:r>
    </w:p>
    <w:p w14:paraId="5C52FBC0" w14:textId="77777777" w:rsidR="00793432" w:rsidRDefault="00000000">
      <w:pPr>
        <w:pStyle w:val="2"/>
        <w:spacing w:line="360" w:lineRule="auto"/>
        <w:ind w:firstLineChars="0" w:firstLine="0"/>
      </w:pPr>
      <w:bookmarkStart w:id="30" w:name="_Toc32437"/>
      <w:r>
        <w:t>6.2</w:t>
      </w:r>
      <w:r>
        <w:t>不足与展望</w:t>
      </w:r>
      <w:bookmarkEnd w:id="30"/>
    </w:p>
    <w:p w14:paraId="7690CEF6" w14:textId="77777777" w:rsidR="00793432" w:rsidRDefault="00000000">
      <w:r>
        <w:t>本文仍存在若干不足。其一，</w:t>
      </w:r>
      <w:r>
        <w:t>Gaussian-138</w:t>
      </w:r>
      <w:r>
        <w:t>样本规模较小，且分子结构分布受已有计算结果限制，难以覆盖全部酚类污染物空间。其二，当前</w:t>
      </w:r>
      <w:r>
        <w:t>Gaussian</w:t>
      </w:r>
      <w:r>
        <w:t>量子化学描述符主要包括电荷、轨道能级、偶极矩、</w:t>
      </w:r>
      <w:r>
        <w:t>Fukui</w:t>
      </w:r>
      <w:r>
        <w:t>三态与</w:t>
      </w:r>
      <w:r>
        <w:t>NICS</w:t>
      </w:r>
      <w:r>
        <w:t>芳香性，尚未系统覆盖键级、键长、</w:t>
      </w:r>
      <w:r>
        <w:t>C-H</w:t>
      </w:r>
      <w:r>
        <w:t>键解离能、过渡态势垒与溶剂化自由能等更直接的反应性指标。其三，</w:t>
      </w:r>
      <w:proofErr w:type="spellStart"/>
      <w:r>
        <w:t>Chemprop</w:t>
      </w:r>
      <w:proofErr w:type="spellEnd"/>
      <w:r>
        <w:t>在小样本下的</w:t>
      </w:r>
      <w:r>
        <w:t>PRC</w:t>
      </w:r>
      <w:r>
        <w:t>较</w:t>
      </w:r>
      <w:r>
        <w:t>Random Forest</w:t>
      </w:r>
      <w:r>
        <w:t>仍低约</w:t>
      </w:r>
      <w:r>
        <w:t>0.12</w:t>
      </w:r>
      <w:r>
        <w:t>，提示当前深度模型主要受限于数据规模和描述符覆盖范围。其四，十四组特征消融均基于分子级训练</w:t>
      </w:r>
      <w:r>
        <w:t>-</w:t>
      </w:r>
      <w:r>
        <w:t>验证划分，尚缺少外部独立测试集，后续仍需在更大规模数据上验证泛化能力。</w:t>
      </w:r>
    </w:p>
    <w:p w14:paraId="2C60A7E2" w14:textId="77777777" w:rsidR="00793432" w:rsidRDefault="00000000">
      <w:r>
        <w:lastRenderedPageBreak/>
        <w:t>后续研究可从四个方向展开。其一，继续扩充酚类污染物</w:t>
      </w:r>
      <w:r>
        <w:t>Gaussian</w:t>
      </w:r>
      <w:r>
        <w:t>样本，优先选择结构多样且环境意义明确的候选分子，形成更均衡的数据集。其二，补充更贴近反应机理的量子化学描述符，包括</w:t>
      </w:r>
      <w:r>
        <w:t>condensed Fukui</w:t>
      </w:r>
      <w:r>
        <w:t>函数、局部键级、</w:t>
      </w:r>
      <w:r>
        <w:t>C-H</w:t>
      </w:r>
      <w:r>
        <w:t>键解离能、过渡态势垒与溶剂化自由能等。其三，改进图神经网络模型，使其更好地融合多元素原子描述符，并在独立测试集上验证泛化能力。其四，将原子级反应活性预测与水处理工艺模拟器对接，建立污染物结构、关键反应位点与工艺响应之间的联动预测关系。</w:t>
      </w:r>
    </w:p>
    <w:p w14:paraId="13154DF7" w14:textId="77777777" w:rsidR="00793432" w:rsidRDefault="00000000">
      <w:r>
        <w:t>总体而言，本文完成了从量子化学计算结果整理到机器学习反应位点预测的完整流程。研究结果支持以下判断：在酚类污染物自由基反应活性预测中，结构特征构成强基线；</w:t>
      </w:r>
      <w:r>
        <w:t xml:space="preserve">Gaussian </w:t>
      </w:r>
      <w:r>
        <w:t>电荷与酚类领域特征提供稳定增量；</w:t>
      </w:r>
      <w:r>
        <w:t xml:space="preserve">Fukui </w:t>
      </w:r>
      <w:r>
        <w:t>与</w:t>
      </w:r>
      <w:r>
        <w:t xml:space="preserve"> NICS </w:t>
      </w:r>
      <w:r>
        <w:t>等反应性描述符对图神经网络具有进一步补充价值，并通过</w:t>
      </w:r>
      <w:r>
        <w:t xml:space="preserve"> </w:t>
      </w:r>
      <w:proofErr w:type="spellStart"/>
      <w:r>
        <w:t>Chemprop</w:t>
      </w:r>
      <w:proofErr w:type="spellEnd"/>
      <w:r>
        <w:t xml:space="preserve"> </w:t>
      </w:r>
      <w:r>
        <w:t>的有向消息传递机制在多元素分子图上得到一致融合。该流程可为后续环境污染物高通量反应活性筛选与关键位点识别提供方法参考。</w:t>
      </w:r>
    </w:p>
    <w:p w14:paraId="335CAD6F" w14:textId="77777777" w:rsidR="00793432" w:rsidRDefault="00000000">
      <w:r>
        <w:t>在应用扩展方面，可进一步将原子级反应活性预测与污水处理工艺模拟器连接。后续研究可使用当前较稳健的</w:t>
      </w:r>
      <w:r>
        <w:t>Random Forest</w:t>
      </w:r>
      <w:r>
        <w:t>模型作为快速筛选模块，结合</w:t>
      </w:r>
      <w:r>
        <w:t>ASM/SBR</w:t>
      </w:r>
      <w:r>
        <w:t>等反应器边界条件，建立污染物结构、关键反应位点与工艺响应之间的联动预测关系。</w:t>
      </w:r>
    </w:p>
    <w:p w14:paraId="057657B7" w14:textId="77777777" w:rsidR="00793432" w:rsidRDefault="00000000">
      <w:r>
        <w:t>在可解释性方面，本文尚未系统开展</w:t>
      </w:r>
      <w:r>
        <w:t>SHAP</w:t>
      </w:r>
      <w:r>
        <w:t>或部分依赖分析。后续可在样本规模扩大后，结合特征重要性、置换重要性和</w:t>
      </w:r>
      <w:r>
        <w:t>SHAP</w:t>
      </w:r>
      <w:r>
        <w:t>分析，进一步识别决定关键位点的结构因素和量子化学因素。在当前</w:t>
      </w:r>
      <w:r>
        <w:t>138</w:t>
      </w:r>
      <w:r>
        <w:t>个样本规模下，过度解释单次划分的特征重要性可能带来不稳定结论，因此本文仅将其作为后续工作。</w:t>
      </w:r>
      <w:r>
        <w:t>[23,26]</w:t>
      </w:r>
    </w:p>
    <w:p w14:paraId="280FB989" w14:textId="77777777" w:rsidR="00793432" w:rsidRDefault="00000000">
      <w:pPr>
        <w:ind w:firstLineChars="0" w:firstLine="420"/>
      </w:pPr>
      <w:r>
        <w:t>在更长期的视角下，后续工作可从四个方向展开：扩展</w:t>
      </w:r>
      <w:r>
        <w:t>Gaussian</w:t>
      </w:r>
      <w:r>
        <w:t>特征至键级、键长、</w:t>
      </w:r>
      <w:r>
        <w:t>C-H</w:t>
      </w:r>
      <w:r>
        <w:t>键解离能、过渡态势垒和溶剂化自由能；在更大规模酚类污染物数据上检验</w:t>
      </w:r>
      <w:r>
        <w:t>Random Forest</w:t>
      </w:r>
      <w:r>
        <w:t>与</w:t>
      </w:r>
      <w:proofErr w:type="spellStart"/>
      <w:r>
        <w:t>Chemprop</w:t>
      </w:r>
      <w:proofErr w:type="spellEnd"/>
      <w:r>
        <w:t>的相对优势；结合解释方法分析关键反应位点的判别因素；并将原子级反应活性预测转化为工艺级降解路径和产物分布预测。</w:t>
      </w:r>
    </w:p>
    <w:p w14:paraId="7E4D7D21" w14:textId="77777777" w:rsidR="00793432" w:rsidRDefault="00000000">
      <w:r>
        <w:t>围绕小样本量子化学特征与大数据结构特征的双轨实验设计，本文进一步得到三点方法启示：量子化学计算与机器学习特征工程之间应明确</w:t>
      </w:r>
      <w:r>
        <w:t>SMILES</w:t>
      </w:r>
      <w:r>
        <w:t>、原子顺序和电荷布居口径；原子级任务应采用分子级划分，避免数据泄漏；图神经网络应预留稳定的原子描述符接入方式，以便后续扩展更直接的反应性描述符。</w:t>
      </w:r>
    </w:p>
    <w:p w14:paraId="7DC65C50" w14:textId="77777777" w:rsidR="00793432" w:rsidRDefault="00000000">
      <w:r>
        <w:t>本研究在小样本条件下的实验经验提示，对于以反应位点识别为目标的研究，</w:t>
      </w:r>
      <w:r>
        <w:lastRenderedPageBreak/>
        <w:t>先在小样本上稳定比较特征贡献，再扩展到大样本上验证泛化能力，是较为稳妥的研究路径。小样本实验能够区分描述符贡献与模型性质，大样本实验则可回答模型优势是否随数据规模变化。本工作中</w:t>
      </w:r>
      <w:r>
        <w:t>Random Forest</w:t>
      </w:r>
      <w:r>
        <w:t>与</w:t>
      </w:r>
      <w:proofErr w:type="spellStart"/>
      <w:r>
        <w:t>Chemprop</w:t>
      </w:r>
      <w:proofErr w:type="spellEnd"/>
      <w:r>
        <w:t>在</w:t>
      </w:r>
      <w:r>
        <w:t>138</w:t>
      </w:r>
      <w:r>
        <w:t>个分子和约</w:t>
      </w:r>
      <w:r>
        <w:t>5</w:t>
      </w:r>
      <w:r>
        <w:t>万个分子两个规模下的对比，即为后续以更高质量量子化学特征覆盖更大数据集提供了方法基础。</w:t>
      </w:r>
    </w:p>
    <w:p w14:paraId="3DD056AF" w14:textId="77777777" w:rsidR="00793432" w:rsidRDefault="00000000">
      <w:pPr>
        <w:spacing w:line="400" w:lineRule="atLeast"/>
        <w:sectPr w:rsidR="00793432">
          <w:headerReference w:type="default" r:id="rId45"/>
          <w:pgSz w:w="11906" w:h="16838"/>
          <w:pgMar w:top="1440" w:right="1797" w:bottom="1440" w:left="1797" w:header="850" w:footer="992" w:gutter="0"/>
          <w:cols w:space="720"/>
        </w:sectPr>
      </w:pPr>
      <w:r>
        <w:br w:type="page"/>
      </w:r>
    </w:p>
    <w:p w14:paraId="7C9A4785" w14:textId="77777777" w:rsidR="00793432" w:rsidRDefault="00000000">
      <w:pPr>
        <w:pStyle w:val="1"/>
        <w:spacing w:line="360" w:lineRule="auto"/>
        <w:ind w:firstLine="643"/>
      </w:pPr>
      <w:bookmarkStart w:id="31" w:name="_Toc4760"/>
      <w:r>
        <w:lastRenderedPageBreak/>
        <w:t>参考文献</w:t>
      </w:r>
      <w:bookmarkEnd w:id="31"/>
    </w:p>
    <w:p w14:paraId="7666CEE1" w14:textId="6A04A2D5" w:rsidR="00820675" w:rsidRPr="00820675" w:rsidRDefault="00000000" w:rsidP="00820675">
      <w:pPr>
        <w:pStyle w:val="af0"/>
      </w:pPr>
      <w:r>
        <w:fldChar w:fldCharType="begin"/>
      </w:r>
      <w:r w:rsidR="00820675">
        <w:instrText xml:space="preserve"> ADDIN ZOTERO_BIBL {"uncited":[],"omitted":[],"custom":[]} CSL_BIBLIOGRAPHY </w:instrText>
      </w:r>
      <w:r>
        <w:fldChar w:fldCharType="separate"/>
      </w:r>
      <w:r w:rsidR="00820675" w:rsidRPr="00820675">
        <w:t>[1]</w:t>
      </w:r>
      <w:r w:rsidR="00820675" w:rsidRPr="00820675">
        <w:tab/>
        <w:t>Detailed kinetic study of anisole pyrolysis and oxidation to understand tar formation during biomass combustion and gasification - ScienceDirect[EB/OL]. https://www.sciencedirect.com/science/article/pii/S0010218013004379.</w:t>
      </w:r>
    </w:p>
    <w:p w14:paraId="611B8087" w14:textId="6E55BB70" w:rsidR="00820675" w:rsidRPr="00820675" w:rsidRDefault="00820675" w:rsidP="00820675">
      <w:pPr>
        <w:pStyle w:val="af0"/>
      </w:pPr>
      <w:r w:rsidRPr="00820675">
        <w:t>[2]</w:t>
      </w:r>
      <w:r w:rsidRPr="00820675">
        <w:tab/>
        <w:t>Theoretical investigation on the mechanisms and kinetics of OH/NO3-initiated atmospheric oxidation of vanillin and vanillic acid - ScienceDirect[EB/OL]. https://www.sciencedirect.com/science/article/abs/pii/S0045653521030162.</w:t>
      </w:r>
    </w:p>
    <w:p w14:paraId="771E9F5E" w14:textId="35ADF9D2" w:rsidR="00820675" w:rsidRPr="00820675" w:rsidRDefault="00820675" w:rsidP="00820675">
      <w:pPr>
        <w:pStyle w:val="af0"/>
      </w:pPr>
      <w:r w:rsidRPr="00820675">
        <w:t>[3]</w:t>
      </w:r>
      <w:r w:rsidRPr="00820675">
        <w:tab/>
      </w:r>
      <w:r w:rsidRPr="00820675">
        <w:t>气溶胶水相中愈创木酚和香草醛的光化学转化机制</w:t>
      </w:r>
      <w:r w:rsidRPr="00820675">
        <w:t xml:space="preserve"> - </w:t>
      </w:r>
      <w:r w:rsidRPr="00820675">
        <w:t>中国知网</w:t>
      </w:r>
      <w:r w:rsidRPr="00820675">
        <w:t xml:space="preserve">[EB/OL]. </w:t>
      </w:r>
    </w:p>
    <w:p w14:paraId="6CD4E1AA" w14:textId="77777777" w:rsidR="00820675" w:rsidRPr="00820675" w:rsidRDefault="00820675" w:rsidP="00820675">
      <w:pPr>
        <w:pStyle w:val="af0"/>
      </w:pPr>
      <w:r w:rsidRPr="00820675">
        <w:t>[4]</w:t>
      </w:r>
      <w:r w:rsidRPr="00820675">
        <w:tab/>
        <w:t>Atmospheric chemistry of VOCs and NOx - ScienceDirect[EB/OL]. [2026-05-30]. https://www.sciencedirect.com/science/article/abs/pii/S1352231099004604.</w:t>
      </w:r>
    </w:p>
    <w:p w14:paraId="3DE2352A" w14:textId="77777777" w:rsidR="00820675" w:rsidRPr="00820675" w:rsidRDefault="00820675" w:rsidP="00820675">
      <w:pPr>
        <w:pStyle w:val="af0"/>
      </w:pPr>
      <w:r w:rsidRPr="00820675">
        <w:t>[5]</w:t>
      </w:r>
      <w:r w:rsidRPr="00820675">
        <w:tab/>
        <w:t>Screening toxic transformation products of emerging pollutants in advanced oxidation processes with 3D deep learning and in vitro assays - ScienceDirect[EB/OL]. [2026-05-30]. https://www.sciencedirect.com/science/article/pii/S0043135426001818.</w:t>
      </w:r>
    </w:p>
    <w:p w14:paraId="2A1E5038" w14:textId="1CB70E58" w:rsidR="00820675" w:rsidRPr="00820675" w:rsidRDefault="00820675" w:rsidP="00820675">
      <w:pPr>
        <w:pStyle w:val="af0"/>
      </w:pPr>
      <w:r w:rsidRPr="00820675">
        <w:t>[6]</w:t>
      </w:r>
      <w:r w:rsidRPr="00820675">
        <w:tab/>
        <w:t>Explainable machine learning reveals how molecular descriptors govern micropollutant degradation in UV/H2O2 oxidation - ScienceDirect[EB/OL]. https://www.sciencedirect.com/science/article/pii/S0043135426004781.</w:t>
      </w:r>
    </w:p>
    <w:p w14:paraId="67F84484" w14:textId="546408EB" w:rsidR="00820675" w:rsidRPr="00820675" w:rsidRDefault="00820675" w:rsidP="00820675">
      <w:pPr>
        <w:pStyle w:val="af0"/>
      </w:pPr>
      <w:r w:rsidRPr="00820675">
        <w:t>[7]</w:t>
      </w:r>
      <w:r w:rsidRPr="00820675">
        <w:tab/>
        <w:t>Analyzing Learned Molecular Representations for Property Prediction | Journal of Chemical Information and Modeling[EB/OL]. https://pubs.acs.org/doi/full/10.1021/acs.jcim.9b00237.</w:t>
      </w:r>
    </w:p>
    <w:p w14:paraId="3A69636E" w14:textId="35B74F25" w:rsidR="00820675" w:rsidRPr="00820675" w:rsidRDefault="00820675" w:rsidP="00820675">
      <w:pPr>
        <w:pStyle w:val="af0"/>
      </w:pPr>
      <w:r w:rsidRPr="00820675">
        <w:t>[8]</w:t>
      </w:r>
      <w:r w:rsidRPr="00820675">
        <w:tab/>
        <w:t>Prediction of Organic Reaction Outcomes Using Machine Learning | ACS Central Science[EB/OL]. https://pubs.acs.org/doi/full/10.1021/acscentsci.7b00064.</w:t>
      </w:r>
    </w:p>
    <w:p w14:paraId="781846E1" w14:textId="603A4008" w:rsidR="00820675" w:rsidRPr="00820675" w:rsidRDefault="00820675" w:rsidP="00820675">
      <w:pPr>
        <w:pStyle w:val="af0"/>
      </w:pPr>
      <w:r w:rsidRPr="00820675">
        <w:t>[9]</w:t>
      </w:r>
      <w:r w:rsidRPr="00820675">
        <w:tab/>
        <w:t>Quantum chemistry-augmented neural networks for reactivity prediction: Performance, generalizability, and explainability | The Journal of Chemical Physics | AIP Publishing[EB/OL]. https://pubs.aip.org/aip/jcp/article/156/8/084104/2840771.</w:t>
      </w:r>
    </w:p>
    <w:p w14:paraId="5664105C" w14:textId="77777777" w:rsidR="00820675" w:rsidRPr="00820675" w:rsidRDefault="00820675" w:rsidP="00820675">
      <w:pPr>
        <w:pStyle w:val="af0"/>
      </w:pPr>
      <w:r w:rsidRPr="00820675">
        <w:t>[10]</w:t>
      </w:r>
      <w:r w:rsidRPr="00820675">
        <w:tab/>
        <w:t>Zhao Y, Truhlar D G. The M06 suite of density functionals for main group thermochemistry, thermochemical kinetics, noncovalent interactions, excited states, and transition elements: two new functionals and systematic testing of four M06-class functionals and 12 other functionals[J]. Theoretical chemistry accounts, 2008, 120(1): 215-241.</w:t>
      </w:r>
    </w:p>
    <w:p w14:paraId="57D4858B" w14:textId="2DDDC230" w:rsidR="00820675" w:rsidRPr="00820675" w:rsidRDefault="00820675" w:rsidP="00820675">
      <w:pPr>
        <w:pStyle w:val="af0"/>
      </w:pPr>
      <w:r w:rsidRPr="00820675">
        <w:t>[11]</w:t>
      </w:r>
      <w:r w:rsidRPr="00820675">
        <w:tab/>
        <w:t>Atmospheric Oxidation Mechanism of Phenol Initiated by OH Radical | The Journal of Physical Chemistry A[EB/OL]. https://pubs.acs.org/doi/abs/10.1021/jp308856b.</w:t>
      </w:r>
    </w:p>
    <w:p w14:paraId="0F140376" w14:textId="77777777" w:rsidR="00820675" w:rsidRPr="00820675" w:rsidRDefault="00820675" w:rsidP="00820675">
      <w:pPr>
        <w:pStyle w:val="af0"/>
      </w:pPr>
      <w:r w:rsidRPr="00820675">
        <w:lastRenderedPageBreak/>
        <w:t>[12]</w:t>
      </w:r>
      <w:r w:rsidRPr="00820675">
        <w:tab/>
        <w:t>Reed A E, Curtiss L A, Weinhold F. Intermolecular interactions from a natural bond orbital, donor-acceptor viewpoint[J]. Chemical Reviews, 1988, 88(6): 899-926.</w:t>
      </w:r>
    </w:p>
    <w:p w14:paraId="0DD570CE" w14:textId="77777777" w:rsidR="00820675" w:rsidRPr="00820675" w:rsidRDefault="00820675" w:rsidP="00820675">
      <w:pPr>
        <w:pStyle w:val="af0"/>
      </w:pPr>
      <w:r w:rsidRPr="00820675">
        <w:t>[13]</w:t>
      </w:r>
      <w:r w:rsidRPr="00820675">
        <w:tab/>
        <w:t>Mulliken R S. Electronic population analysis on LCAO–MO molecular wave functions. I[J]. The Journal of chemical physics, 1955, 23(10): 1833-1840.</w:t>
      </w:r>
    </w:p>
    <w:p w14:paraId="50554562" w14:textId="77777777" w:rsidR="00820675" w:rsidRPr="00820675" w:rsidRDefault="00820675" w:rsidP="00820675">
      <w:pPr>
        <w:pStyle w:val="af0"/>
      </w:pPr>
      <w:r w:rsidRPr="00820675">
        <w:t>[14]</w:t>
      </w:r>
      <w:r w:rsidRPr="00820675">
        <w:tab/>
        <w:t>Yang W, Mortier W J. The use of global and local molecular parameters for the analysis of the gas-phase basicity of amines[J]. Journal of the American Chemical Society, 1986, 108(19): 5708-5711.</w:t>
      </w:r>
    </w:p>
    <w:p w14:paraId="7253A36E" w14:textId="77D5CD84" w:rsidR="00820675" w:rsidRPr="00820675" w:rsidRDefault="00820675" w:rsidP="00820675">
      <w:pPr>
        <w:pStyle w:val="af0"/>
      </w:pPr>
      <w:r w:rsidRPr="00820675">
        <w:t>[15]</w:t>
      </w:r>
      <w:r w:rsidRPr="00820675">
        <w:tab/>
        <w:t>Quantitative structure–property relationship of the photoelectrochemical oxidation of phenolic pollutants at modified nanoporous titanium oxide using supervised machine learning - Physical Chemistry Chemical Physics (RSC Publishing)[EB/OL]. https://pubs.rsc.org/en/content/articlelanding/2020/cp/d0cp01518k/unauth.</w:t>
      </w:r>
    </w:p>
    <w:p w14:paraId="0DB1A335" w14:textId="77777777" w:rsidR="00820675" w:rsidRPr="00820675" w:rsidRDefault="00820675" w:rsidP="00820675">
      <w:pPr>
        <w:pStyle w:val="af0"/>
      </w:pPr>
      <w:r w:rsidRPr="00820675">
        <w:t>[16]</w:t>
      </w:r>
      <w:r w:rsidRPr="00820675">
        <w:tab/>
        <w:t xml:space="preserve">Nurhayati M, Kim S, Lee B J, </w:t>
      </w:r>
      <w:r w:rsidRPr="00820675">
        <w:t>等</w:t>
      </w:r>
      <w:r w:rsidRPr="00820675">
        <w:t>. Explainable machine learning reveals how molecular descriptors govern micropollutant degradation in UV/H2O2 oxidation[J]. Water Research, 2026, 298: 125796.</w:t>
      </w:r>
    </w:p>
    <w:p w14:paraId="72CEDFA0" w14:textId="4602E346" w:rsidR="00820675" w:rsidRPr="00820675" w:rsidRDefault="00820675" w:rsidP="00820675">
      <w:pPr>
        <w:pStyle w:val="af0"/>
      </w:pPr>
      <w:r w:rsidRPr="00820675">
        <w:t>[17]</w:t>
      </w:r>
      <w:r w:rsidRPr="00820675">
        <w:tab/>
        <w:t>Enhanced biodegradation of phenol under Cr(VI) stress by microbial collaboration and potential application of machine learning for phenol biodegradation | Water Science &amp; Technology | IWA Publishing[EB/OL]. https://iwaponline.com/wst/article/89/9/2384/102134/Enhanced-biodegradation-of-phenol-under-Cr-VI.</w:t>
      </w:r>
    </w:p>
    <w:p w14:paraId="0565DFE2" w14:textId="77777777" w:rsidR="00820675" w:rsidRPr="00820675" w:rsidRDefault="00820675" w:rsidP="00820675">
      <w:pPr>
        <w:pStyle w:val="af0"/>
      </w:pPr>
      <w:r w:rsidRPr="00820675">
        <w:t>[18]</w:t>
      </w:r>
      <w:r w:rsidRPr="00820675">
        <w:tab/>
        <w:t xml:space="preserve">Midya V, Alcala C S, Rechtman E, </w:t>
      </w:r>
      <w:r w:rsidRPr="00820675">
        <w:t>等</w:t>
      </w:r>
      <w:r w:rsidRPr="00820675">
        <w:t>. Machine Learning Assisted Discovery of Interactions between Pesticides, Phthalates, Phenols, and Trace Elements in Child Neurodevelopment[J]. Environmental Science &amp; Technology, 2023, 57(46): 18139-18150.</w:t>
      </w:r>
    </w:p>
    <w:p w14:paraId="304AA42A" w14:textId="77777777" w:rsidR="00820675" w:rsidRPr="00820675" w:rsidRDefault="00820675" w:rsidP="00820675">
      <w:pPr>
        <w:pStyle w:val="af0"/>
      </w:pPr>
      <w:r w:rsidRPr="00820675">
        <w:t>[19]</w:t>
      </w:r>
      <w:r w:rsidRPr="00820675">
        <w:tab/>
        <w:t>Chemprop developers. Chemprop documentation. https://chemprop.readthedocs.io/.[P].</w:t>
      </w:r>
    </w:p>
    <w:p w14:paraId="3A88A88A" w14:textId="77777777" w:rsidR="00820675" w:rsidRPr="00820675" w:rsidRDefault="00820675" w:rsidP="00820675">
      <w:pPr>
        <w:pStyle w:val="af0"/>
      </w:pPr>
      <w:r w:rsidRPr="00820675">
        <w:t>[20]</w:t>
      </w:r>
      <w:r w:rsidRPr="00820675">
        <w:tab/>
        <w:t xml:space="preserve">Schwaller P, Laino T, Gaudin T, </w:t>
      </w:r>
      <w:r w:rsidRPr="00820675">
        <w:t>等</w:t>
      </w:r>
      <w:r w:rsidRPr="00820675">
        <w:t>. Molecular Transformer: A Model for Uncertainty-Calibrated Chemical Reaction Prediction[J]. ACS Central Science, 2019, 5(9): 1572-1583.</w:t>
      </w:r>
    </w:p>
    <w:p w14:paraId="27B68256" w14:textId="77777777" w:rsidR="00820675" w:rsidRPr="00820675" w:rsidRDefault="00820675" w:rsidP="00820675">
      <w:pPr>
        <w:pStyle w:val="af0"/>
      </w:pPr>
      <w:r w:rsidRPr="00820675">
        <w:t>[21]</w:t>
      </w:r>
      <w:r w:rsidRPr="00820675">
        <w:tab/>
        <w:t xml:space="preserve">Pedregosa F, Varoquaux G, Gramfort A, </w:t>
      </w:r>
      <w:r w:rsidRPr="00820675">
        <w:t>等</w:t>
      </w:r>
      <w:r w:rsidRPr="00820675">
        <w:t>. Scikit-learn: Machine learning in Python[J]. the Journal of machine Learning research, 2011, 12: 2825-2830.</w:t>
      </w:r>
    </w:p>
    <w:p w14:paraId="1FB2ECAB" w14:textId="646306A5" w:rsidR="00820675" w:rsidRPr="00820675" w:rsidRDefault="00820675" w:rsidP="00820675">
      <w:pPr>
        <w:pStyle w:val="af0"/>
      </w:pPr>
      <w:r w:rsidRPr="00820675">
        <w:t>[22]</w:t>
      </w:r>
      <w:r w:rsidRPr="00820675">
        <w:tab/>
        <w:t xml:space="preserve">Integrating experimental and predictive modeling approaches for phenolic </w:t>
      </w:r>
      <w:r w:rsidRPr="00820675">
        <w:lastRenderedPageBreak/>
        <w:t>pollutants removal using bisphenol-based hyper-cross-linked resin - ScienceDirect[EB/OL]. https://www.sciencedirect.com/science/article/pii/S0167732226001923.</w:t>
      </w:r>
    </w:p>
    <w:p w14:paraId="2E2E2447" w14:textId="77777777" w:rsidR="00820675" w:rsidRPr="00820675" w:rsidRDefault="00820675" w:rsidP="00820675">
      <w:pPr>
        <w:pStyle w:val="af0"/>
      </w:pPr>
      <w:r w:rsidRPr="00820675">
        <w:t>[23]</w:t>
      </w:r>
      <w:r w:rsidRPr="00820675">
        <w:tab/>
        <w:t xml:space="preserve">Heid E, McGill C J, Vermeire F H, </w:t>
      </w:r>
      <w:r w:rsidRPr="00820675">
        <w:t>等</w:t>
      </w:r>
      <w:r w:rsidRPr="00820675">
        <w:t>. Characterizing Uncertainty in Machine Learning for Chemistry[J]. Journal of Chemical Information and Modeling, 2023, 63(13): 4012-4029.</w:t>
      </w:r>
    </w:p>
    <w:p w14:paraId="3B328E90" w14:textId="08D79A2B" w:rsidR="00820675" w:rsidRPr="00820675" w:rsidRDefault="00820675" w:rsidP="00820675">
      <w:pPr>
        <w:pStyle w:val="af0"/>
      </w:pPr>
      <w:r w:rsidRPr="00820675">
        <w:t>[24]</w:t>
      </w:r>
      <w:r w:rsidRPr="00820675">
        <w:tab/>
        <w:t>The Cluster−Continuum Model for the Calculation of the Solvation Free Energy of Ionic Species | The Journal of Physical Chemistry A[EB/OL]. https://pubs.acs.org/doi/abs/10.1021/jp004192w.</w:t>
      </w:r>
    </w:p>
    <w:p w14:paraId="5CDD29D1" w14:textId="4EA4898D" w:rsidR="00793432" w:rsidRDefault="00000000">
      <w:pPr>
        <w:spacing w:line="400" w:lineRule="atLeast"/>
      </w:pPr>
      <w:r>
        <w:fldChar w:fldCharType="end"/>
      </w:r>
      <w:r>
        <w:br w:type="page"/>
      </w:r>
    </w:p>
    <w:p w14:paraId="2B9A2AFE" w14:textId="77777777" w:rsidR="00793432" w:rsidRPr="00200807" w:rsidRDefault="00793432">
      <w:pPr>
        <w:ind w:firstLineChars="0" w:firstLine="0"/>
        <w:jc w:val="left"/>
        <w:sectPr w:rsidR="00793432" w:rsidRPr="00200807">
          <w:headerReference w:type="default" r:id="rId46"/>
          <w:pgSz w:w="11906" w:h="16838"/>
          <w:pgMar w:top="1440" w:right="1797" w:bottom="1440" w:left="1797" w:header="850" w:footer="992" w:gutter="0"/>
          <w:cols w:space="720"/>
        </w:sectPr>
      </w:pPr>
    </w:p>
    <w:p w14:paraId="5470139C" w14:textId="77777777" w:rsidR="00793432" w:rsidRDefault="00000000">
      <w:pPr>
        <w:pStyle w:val="1"/>
        <w:spacing w:before="163" w:after="163" w:line="360" w:lineRule="auto"/>
        <w:ind w:firstLine="643"/>
      </w:pPr>
      <w:bookmarkStart w:id="32" w:name="_Toc23532"/>
      <w:r>
        <w:lastRenderedPageBreak/>
        <w:t>致谢</w:t>
      </w:r>
      <w:bookmarkEnd w:id="32"/>
    </w:p>
    <w:p w14:paraId="6AAD307F" w14:textId="4AA60F62" w:rsidR="00793432" w:rsidRPr="007328CA" w:rsidRDefault="00000000">
      <w:pPr>
        <w:ind w:firstLineChars="0" w:firstLine="0"/>
        <w:rPr>
          <w:rFonts w:hint="eastAsia"/>
          <w:lang w:val="en-IE"/>
        </w:rPr>
      </w:pPr>
      <w:r>
        <w:tab/>
      </w:r>
      <w:r w:rsidR="007328CA">
        <w:rPr>
          <w:rFonts w:hint="eastAsia"/>
        </w:rPr>
        <w:t>四年的大学生涯即将结束，我即将踏上新的征程，回顾大学四年，一时间感慨良多。这四年对我来说真是体验完全不同的四年，每一年都在做一些新的事情，认识新的老师和朋友。</w:t>
      </w:r>
      <w:r w:rsidR="007328CA">
        <w:rPr>
          <w:rFonts w:hint="eastAsia"/>
          <w:lang w:val="en-IE"/>
        </w:rPr>
        <w:t>记得第一年</w:t>
      </w:r>
      <w:r w:rsidR="007A6F70">
        <w:rPr>
          <w:rFonts w:hint="eastAsia"/>
          <w:lang w:val="en-IE"/>
        </w:rPr>
        <w:t>把大部分精力放到了卷绩点上，</w:t>
      </w:r>
    </w:p>
    <w:sectPr w:rsidR="00793432" w:rsidRPr="007328CA">
      <w:headerReference w:type="default" r:id="rId47"/>
      <w:footerReference w:type="default" r:id="rId48"/>
      <w:headerReference w:type="first" r:id="rId49"/>
      <w:footerReference w:type="first" r:id="rId50"/>
      <w:pgSz w:w="11906" w:h="16838"/>
      <w:pgMar w:top="1440" w:right="1797" w:bottom="1440" w:left="1797" w:header="850" w:footer="992"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01183" w14:textId="77777777" w:rsidR="00100ADF" w:rsidRDefault="00100ADF">
      <w:pPr>
        <w:spacing w:line="240" w:lineRule="auto"/>
      </w:pPr>
      <w:r>
        <w:separator/>
      </w:r>
    </w:p>
  </w:endnote>
  <w:endnote w:type="continuationSeparator" w:id="0">
    <w:p w14:paraId="38CA2E43" w14:textId="77777777" w:rsidR="00100ADF" w:rsidRDefault="00100A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DengXian Light">
    <w:panose1 w:val="02010600030101010101"/>
    <w:charset w:val="86"/>
    <w:family w:val="auto"/>
    <w:pitch w:val="variable"/>
    <w:sig w:usb0="A00002BF" w:usb1="38CF7CFA" w:usb2="00000016" w:usb3="00000000" w:csb0="0004000F" w:csb1="00000000"/>
  </w:font>
  <w:font w:name="楷体">
    <w:altName w:val="KaiT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E61EA" w14:textId="77777777" w:rsidR="00793432" w:rsidRDefault="00793432">
    <w:pPr>
      <w:pStyle w:val="a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B9124" w14:textId="77777777" w:rsidR="00793432" w:rsidRDefault="00793432">
    <w:pPr>
      <w:pStyle w:val="a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AF3E8" w14:textId="77777777" w:rsidR="00793432" w:rsidRDefault="00793432">
    <w:pPr>
      <w:pStyle w:val="a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843A8" w14:textId="77777777" w:rsidR="00793432" w:rsidRDefault="00793432">
    <w:pPr>
      <w:pStyle w:val="a4"/>
      <w:ind w:firstLineChars="0" w:firstLine="0"/>
      <w:jc w:val="both"/>
      <w:rPr>
        <w:rFonts w:cs="Times New Roma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E2DF" w14:textId="77777777" w:rsidR="00793432" w:rsidRDefault="00793432">
    <w:pPr>
      <w:pStyle w:val="a4"/>
      <w:ind w:firstLine="360"/>
      <w:jc w:val="center"/>
      <w:rPr>
        <w:rFonts w:cs="Times New Roma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16E01" w14:textId="77777777" w:rsidR="00793432" w:rsidRDefault="00793432">
    <w:pPr>
      <w:pStyle w:val="a4"/>
      <w:ind w:firstLine="360"/>
      <w:jc w:val="center"/>
      <w:rPr>
        <w:rFonts w:cs="Times New Roman"/>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5FAFF" w14:textId="77777777" w:rsidR="00793432" w:rsidRDefault="00000000">
    <w:pPr>
      <w:pStyle w:val="a4"/>
      <w:ind w:firstLine="360"/>
      <w:jc w:val="center"/>
      <w:rPr>
        <w:rFonts w:cs="Times New Roman"/>
      </w:rPr>
    </w:pPr>
    <w:r>
      <w:rPr>
        <w:noProof/>
      </w:rPr>
      <mc:AlternateContent>
        <mc:Choice Requires="wps">
          <w:drawing>
            <wp:anchor distT="0" distB="0" distL="114300" distR="114300" simplePos="0" relativeHeight="251661312" behindDoc="0" locked="0" layoutInCell="1" allowOverlap="1" wp14:anchorId="49AE3112" wp14:editId="3A9D68F7">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AF4C58" w14:textId="77777777" w:rsidR="00793432" w:rsidRDefault="00000000">
                          <w:pPr>
                            <w:pStyle w:val="a4"/>
                            <w:ind w:firstLine="360"/>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9AE3112" id="_x0000_t202" coordsize="21600,21600" o:spt="202" path="m,l,21600r21600,l21600,xe">
              <v:stroke joinstyle="miter"/>
              <v:path gradientshapeok="t" o:connecttype="rect"/>
            </v:shapetype>
            <v:shape id="文本框 14" o:spid="_x0000_s1026"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2AF4C58" w14:textId="77777777" w:rsidR="00793432" w:rsidRDefault="00000000">
                    <w:pPr>
                      <w:pStyle w:val="a4"/>
                      <w:ind w:firstLine="360"/>
                    </w:pPr>
                    <w:r>
                      <w:fldChar w:fldCharType="begin"/>
                    </w:r>
                    <w:r>
                      <w:instrText xml:space="preserve"> PAGE  \* MERGEFORMAT </w:instrText>
                    </w:r>
                    <w:r>
                      <w:fldChar w:fldCharType="separate"/>
                    </w:r>
                    <w:r>
                      <w:t>5</w:t>
                    </w:r>
                    <w: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75366" w14:textId="77777777" w:rsidR="00793432" w:rsidRDefault="00000000">
    <w:pPr>
      <w:pStyle w:val="a4"/>
      <w:ind w:firstLine="360"/>
      <w:jc w:val="center"/>
      <w:rPr>
        <w:rFonts w:cs="Times New Roman"/>
      </w:rPr>
    </w:pPr>
    <w:r>
      <w:rPr>
        <w:noProof/>
      </w:rPr>
      <mc:AlternateContent>
        <mc:Choice Requires="wps">
          <w:drawing>
            <wp:anchor distT="0" distB="0" distL="114300" distR="114300" simplePos="0" relativeHeight="251659264" behindDoc="0" locked="0" layoutInCell="1" allowOverlap="1" wp14:anchorId="43D09503" wp14:editId="33F1604B">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85B400" w14:textId="77777777" w:rsidR="00793432" w:rsidRDefault="00000000">
                          <w:pPr>
                            <w:pStyle w:val="a4"/>
                            <w:ind w:firstLine="360"/>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3D09503" id="_x0000_t202" coordsize="21600,21600" o:spt="202" path="m,l,21600r21600,l21600,xe">
              <v:stroke joinstyle="miter"/>
              <v:path gradientshapeok="t" o:connecttype="rect"/>
            </v:shapetype>
            <v:shape id="文本框 11" o:spid="_x0000_s1027"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5585B400" w14:textId="77777777" w:rsidR="00793432" w:rsidRDefault="00000000">
                    <w:pPr>
                      <w:pStyle w:val="a4"/>
                      <w:ind w:firstLine="360"/>
                    </w:pPr>
                    <w:r>
                      <w:fldChar w:fldCharType="begin"/>
                    </w:r>
                    <w:r>
                      <w:instrText xml:space="preserve"> PAGE  \* MERGEFORMAT </w:instrText>
                    </w:r>
                    <w:r>
                      <w:fldChar w:fldCharType="separate"/>
                    </w:r>
                    <w:r>
                      <w:t>8</w:t>
                    </w:r>
                    <w:r>
                      <w:fldChar w:fldCharType="end"/>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B0D89" w14:textId="77777777" w:rsidR="00793432" w:rsidRDefault="00000000">
    <w:pPr>
      <w:pStyle w:val="a4"/>
      <w:ind w:firstLine="360"/>
      <w:jc w:val="both"/>
      <w:rPr>
        <w:rFonts w:cs="Times New Roman"/>
      </w:rPr>
    </w:pPr>
    <w:r>
      <w:rPr>
        <w:noProof/>
      </w:rPr>
      <mc:AlternateContent>
        <mc:Choice Requires="wps">
          <w:drawing>
            <wp:anchor distT="0" distB="0" distL="114300" distR="114300" simplePos="0" relativeHeight="251660288" behindDoc="0" locked="0" layoutInCell="1" allowOverlap="1" wp14:anchorId="4E07ECAB" wp14:editId="210F4AA4">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A9F15E" w14:textId="77777777" w:rsidR="00793432" w:rsidRDefault="00000000">
                          <w:pPr>
                            <w:pStyle w:val="a4"/>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E07ECAB" id="_x0000_t202" coordsize="21600,21600" o:spt="202" path="m,l,21600r21600,l21600,xe">
              <v:stroke joinstyle="miter"/>
              <v:path gradientshapeok="t" o:connecttype="rect"/>
            </v:shapetype>
            <v:shape id="文本框 12" o:spid="_x0000_s1028"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6DA9F15E" w14:textId="77777777" w:rsidR="00793432" w:rsidRDefault="00000000">
                    <w:pPr>
                      <w:pStyle w:val="a4"/>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EAB30" w14:textId="77777777" w:rsidR="00100ADF" w:rsidRDefault="00100ADF">
      <w:r>
        <w:separator/>
      </w:r>
    </w:p>
  </w:footnote>
  <w:footnote w:type="continuationSeparator" w:id="0">
    <w:p w14:paraId="53371AF5" w14:textId="77777777" w:rsidR="00100ADF" w:rsidRDefault="00100A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B18BF" w14:textId="77777777" w:rsidR="00793432" w:rsidRDefault="00793432">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63B0D" w14:textId="77777777" w:rsidR="00793432" w:rsidRDefault="00793432">
    <w:pPr>
      <w:pStyle w:val="a6"/>
      <w:pBdr>
        <w:bottom w:val="single" w:sz="6" w:space="1" w:color="000000"/>
      </w:pBdr>
      <w:ind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2B6AC" w14:textId="77777777" w:rsidR="00793432" w:rsidRDefault="00000000">
    <w:pPr>
      <w:pStyle w:val="a6"/>
      <w:ind w:firstLineChars="0" w:firstLine="0"/>
      <w:jc w:val="left"/>
    </w:pPr>
    <w:r>
      <w:t>山东科技大学毕业论文</w:t>
    </w:r>
    <w:r>
      <w:tab/>
    </w:r>
    <w:r>
      <w:rPr>
        <w:rFonts w:hint="eastAsia"/>
      </w:rPr>
      <w:t xml:space="preserve">                                                                    </w:t>
    </w:r>
    <w:r>
      <w:rPr>
        <w:rFonts w:hint="eastAsia"/>
      </w:rPr>
      <w:t>声明</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10A72" w14:textId="77777777" w:rsidR="00793432" w:rsidRDefault="00000000">
    <w:pPr>
      <w:pStyle w:val="a6"/>
      <w:spacing w:line="240" w:lineRule="auto"/>
      <w:ind w:firstLineChars="0" w:firstLine="0"/>
      <w:jc w:val="left"/>
    </w:pPr>
    <w:r>
      <w:rPr>
        <w:rFonts w:hint="eastAsia"/>
      </w:rPr>
      <w:t>山东科技大学毕业论文</w:t>
    </w:r>
    <w:r>
      <w:ptab w:relativeTo="margin" w:alignment="right" w:leader="none"/>
    </w:r>
    <w:r>
      <w:rPr>
        <w:rFonts w:hint="eastAsia"/>
      </w:rPr>
      <w:t>声明</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D5B82" w14:textId="77777777" w:rsidR="00793432" w:rsidRDefault="00000000">
    <w:pPr>
      <w:pStyle w:val="a6"/>
      <w:pBdr>
        <w:bottom w:val="single" w:sz="6" w:space="1" w:color="000000"/>
      </w:pBdr>
      <w:ind w:firstLine="360"/>
    </w:pPr>
    <w:r>
      <w:t>山东科技大学毕业论文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DD743" w14:textId="77777777" w:rsidR="00793432" w:rsidRDefault="00000000">
    <w:pPr>
      <w:pStyle w:val="a6"/>
      <w:ind w:firstLineChars="0" w:firstLine="0"/>
      <w:jc w:val="left"/>
    </w:pPr>
    <w:r>
      <w:t>山东科技大学毕业论文</w:t>
    </w:r>
    <w:r>
      <w:tab/>
    </w:r>
    <w:r>
      <w:rPr>
        <w:rFonts w:hint="eastAsia"/>
      </w:rPr>
      <w:t xml:space="preserve">                                                             ABSTRACT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FC990" w14:textId="77777777" w:rsidR="00793432" w:rsidRDefault="00000000">
    <w:pPr>
      <w:pStyle w:val="a6"/>
      <w:pBdr>
        <w:bottom w:val="single" w:sz="6" w:space="1" w:color="000000"/>
      </w:pBdr>
      <w:ind w:firstLine="360"/>
    </w:pPr>
    <w:r>
      <w:t>山东科技大学毕业论文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0C943" w14:textId="77777777" w:rsidR="00793432" w:rsidRDefault="00000000">
    <w:pPr>
      <w:pStyle w:val="a6"/>
      <w:ind w:firstLineChars="0" w:firstLine="0"/>
      <w:jc w:val="left"/>
    </w:pPr>
    <w:r>
      <w:t>山东科技大学毕业论文</w:t>
    </w:r>
    <w:r>
      <w:tab/>
    </w:r>
    <w:r>
      <w:rPr>
        <w:rFonts w:hint="eastAsia"/>
      </w:rPr>
      <w:t xml:space="preserve">                                                                    </w:t>
    </w:r>
    <w:r>
      <w:rPr>
        <w:rFonts w:hint="eastAsia"/>
      </w:rPr>
      <w:t>目录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39C4E" w14:textId="77777777" w:rsidR="00793432" w:rsidRDefault="00000000">
    <w:pPr>
      <w:pStyle w:val="a6"/>
      <w:ind w:firstLineChars="0" w:firstLine="0"/>
      <w:jc w:val="left"/>
    </w:pPr>
    <w:r>
      <w:t>山东科技大学毕业论文</w:t>
    </w:r>
    <w:r>
      <w:tab/>
    </w:r>
    <w:r>
      <w:rPr>
        <w:rFonts w:hint="eastAsia"/>
      </w:rPr>
      <w:t xml:space="preserve">                                                                    </w:t>
    </w:r>
    <w:r>
      <w:rPr>
        <w:rFonts w:hint="eastAsia"/>
      </w:rPr>
      <w:t>目录</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0FA10" w14:textId="77777777" w:rsidR="00793432" w:rsidRDefault="00000000">
    <w:pPr>
      <w:pStyle w:val="a6"/>
      <w:pBdr>
        <w:bottom w:val="single" w:sz="6" w:space="1" w:color="000000"/>
      </w:pBdr>
      <w:tabs>
        <w:tab w:val="clear" w:pos="4153"/>
        <w:tab w:val="clear" w:pos="8306"/>
        <w:tab w:val="left" w:pos="7440"/>
        <w:tab w:val="right" w:pos="8312"/>
      </w:tabs>
      <w:ind w:firstLineChars="0" w:firstLine="0"/>
      <w:jc w:val="both"/>
    </w:pPr>
    <w:r>
      <w:t>山东科技大学毕业论文</w:t>
    </w:r>
    <w:r>
      <w:tab/>
    </w:r>
    <w:r>
      <w:rPr>
        <w:rFonts w:hint="eastAsia"/>
      </w:rPr>
      <w:t>第</w:t>
    </w:r>
    <w:r>
      <w:rPr>
        <w:rFonts w:hint="eastAsia"/>
      </w:rPr>
      <w:t>1</w:t>
    </w:r>
    <w:r>
      <w:rPr>
        <w:rFonts w:hint="eastAsia"/>
      </w:rPr>
      <w:t>章绪论</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42A77" w14:textId="77777777" w:rsidR="00793432" w:rsidRDefault="00000000">
    <w:pPr>
      <w:pStyle w:val="a6"/>
      <w:pBdr>
        <w:bottom w:val="single" w:sz="6" w:space="1" w:color="000000"/>
      </w:pBdr>
      <w:tabs>
        <w:tab w:val="clear" w:pos="4153"/>
        <w:tab w:val="clear" w:pos="8306"/>
        <w:tab w:val="left" w:pos="6096"/>
      </w:tabs>
      <w:ind w:firstLineChars="0" w:firstLine="0"/>
      <w:jc w:val="both"/>
    </w:pPr>
    <w:r>
      <w:t>山东科技大学毕业论文</w:t>
    </w:r>
    <w:r>
      <w:tab/>
    </w:r>
    <w:r>
      <w:rPr>
        <w:rFonts w:hint="eastAsia"/>
      </w:rPr>
      <w:t>第</w:t>
    </w:r>
    <w:r>
      <w:rPr>
        <w:rFonts w:hint="eastAsia"/>
      </w:rPr>
      <w:t>2</w:t>
    </w:r>
    <w:r>
      <w:rPr>
        <w:rFonts w:hint="eastAsia"/>
      </w:rPr>
      <w:t>章理论基础与研究方法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74435" w14:textId="77777777" w:rsidR="00793432" w:rsidRDefault="00000000">
    <w:pPr>
      <w:pStyle w:val="a6"/>
      <w:pBdr>
        <w:bottom w:val="single" w:sz="6" w:space="1" w:color="000000"/>
      </w:pBdr>
      <w:ind w:firstLineChars="0" w:firstLine="0"/>
      <w:jc w:val="both"/>
    </w:pPr>
    <w:r>
      <w:t>山东科技大学毕业论文</w:t>
    </w:r>
    <w:r>
      <w:rPr>
        <w:rFonts w:hint="eastAsia"/>
      </w:rPr>
      <w:t xml:space="preserve">                                              </w:t>
    </w:r>
    <w:r>
      <w:rPr>
        <w:rFonts w:hint="eastAsia"/>
      </w:rPr>
      <w:t>第</w:t>
    </w:r>
    <w:r>
      <w:rPr>
        <w:rFonts w:hint="eastAsia"/>
      </w:rPr>
      <w:t>3</w:t>
    </w:r>
    <w:r>
      <w:rPr>
        <w:rFonts w:hint="eastAsia"/>
      </w:rPr>
      <w:t>章数据集构建与特征工程</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023B0" w14:textId="77777777" w:rsidR="00793432" w:rsidRDefault="00000000">
    <w:pPr>
      <w:pStyle w:val="a6"/>
      <w:pBdr>
        <w:bottom w:val="single" w:sz="6" w:space="1" w:color="000000"/>
      </w:pBdr>
      <w:ind w:firstLineChars="0" w:firstLine="0"/>
      <w:jc w:val="both"/>
    </w:pPr>
    <w:r>
      <w:t>山东科技大学毕业论文</w:t>
    </w:r>
    <w:r>
      <w:rPr>
        <w:rFonts w:hint="eastAsia"/>
      </w:rPr>
      <w:t xml:space="preserve">                                              </w:t>
    </w:r>
    <w:r>
      <w:rPr>
        <w:rFonts w:hint="eastAsia"/>
      </w:rPr>
      <w:t>第</w:t>
    </w:r>
    <w:r>
      <w:rPr>
        <w:rFonts w:hint="eastAsia"/>
      </w:rPr>
      <w:t>4</w:t>
    </w:r>
    <w:r>
      <w:rPr>
        <w:rFonts w:hint="eastAsia"/>
      </w:rPr>
      <w:t>章反应位点预测模型构建</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DF647" w14:textId="77777777" w:rsidR="00793432" w:rsidRDefault="00000000">
    <w:pPr>
      <w:pBdr>
        <w:bottom w:val="single" w:sz="6" w:space="1" w:color="000000"/>
      </w:pBdr>
      <w:ind w:firstLineChars="0" w:firstLine="0"/>
    </w:pPr>
    <w:r>
      <w:rPr>
        <w:sz w:val="18"/>
      </w:rPr>
      <w:t>山东科技大学毕业论文</w:t>
    </w:r>
    <w:r>
      <w:rPr>
        <w:rFonts w:hint="eastAsia"/>
        <w:sz w:val="18"/>
      </w:rPr>
      <w:t xml:space="preserve">                                                    </w:t>
    </w:r>
    <w:r>
      <w:rPr>
        <w:rFonts w:hint="eastAsia"/>
        <w:sz w:val="18"/>
      </w:rPr>
      <w:t>第</w:t>
    </w:r>
    <w:r>
      <w:rPr>
        <w:rFonts w:hint="eastAsia"/>
        <w:sz w:val="18"/>
      </w:rPr>
      <w:t>5</w:t>
    </w:r>
    <w:r>
      <w:rPr>
        <w:rFonts w:hint="eastAsia"/>
        <w:sz w:val="18"/>
      </w:rPr>
      <w:t>章实验结果与分析</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CEF35" w14:textId="77777777" w:rsidR="00793432" w:rsidRDefault="00000000">
    <w:pPr>
      <w:pBdr>
        <w:bottom w:val="single" w:sz="6" w:space="1" w:color="000000"/>
      </w:pBdr>
      <w:ind w:firstLineChars="0" w:firstLine="0"/>
    </w:pPr>
    <w:r>
      <w:rPr>
        <w:sz w:val="18"/>
      </w:rPr>
      <w:t>山东科技大学毕业论文</w:t>
    </w:r>
    <w:r>
      <w:rPr>
        <w:rFonts w:hint="eastAsia"/>
        <w:sz w:val="18"/>
      </w:rPr>
      <w:t xml:space="preserve">                                                        </w:t>
    </w:r>
    <w:r>
      <w:rPr>
        <w:rFonts w:hint="eastAsia"/>
        <w:sz w:val="18"/>
      </w:rPr>
      <w:t>第</w:t>
    </w:r>
    <w:r>
      <w:rPr>
        <w:rFonts w:hint="eastAsia"/>
        <w:sz w:val="18"/>
      </w:rPr>
      <w:t>6</w:t>
    </w:r>
    <w:r>
      <w:rPr>
        <w:rFonts w:hint="eastAsia"/>
        <w:sz w:val="18"/>
      </w:rPr>
      <w:t>章结论与展望</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BA81E" w14:textId="77777777" w:rsidR="00793432" w:rsidRDefault="00000000">
    <w:pPr>
      <w:pBdr>
        <w:bottom w:val="single" w:sz="6" w:space="1" w:color="000000"/>
      </w:pBdr>
      <w:ind w:firstLineChars="0" w:firstLine="0"/>
    </w:pPr>
    <w:r>
      <w:rPr>
        <w:sz w:val="18"/>
      </w:rPr>
      <w:t>山东科技大学毕业论文</w:t>
    </w:r>
    <w:r>
      <w:rPr>
        <w:rFonts w:hint="eastAsia"/>
        <w:sz w:val="18"/>
      </w:rPr>
      <w:t xml:space="preserve">                                                                </w:t>
    </w:r>
    <w:r>
      <w:rPr>
        <w:rFonts w:hint="eastAsia"/>
        <w:sz w:val="18"/>
      </w:rPr>
      <w:t>参考文献</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83B39" w14:textId="77777777" w:rsidR="00793432" w:rsidRDefault="00000000">
    <w:pPr>
      <w:pStyle w:val="a6"/>
      <w:pBdr>
        <w:bottom w:val="single" w:sz="6" w:space="1" w:color="000000"/>
      </w:pBdr>
      <w:ind w:firstLine="360"/>
    </w:pPr>
    <w:r>
      <w:t>山东科技大学毕业论文</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62E29" w14:textId="62205600" w:rsidR="007328CA" w:rsidRDefault="007328CA">
    <w:pPr>
      <w:pStyle w:val="a6"/>
      <w:ind w:firstLineChars="0" w:firstLine="0"/>
      <w:jc w:val="left"/>
    </w:pPr>
    <w:r>
      <w:t>山东科技大学毕业论文</w:t>
    </w:r>
    <w:r>
      <w:tab/>
    </w:r>
    <w:r>
      <w:rPr>
        <w:rFonts w:hint="eastAsia"/>
      </w:rPr>
      <w:t xml:space="preserve">                                                                    </w:t>
    </w:r>
    <w:r>
      <w:rPr>
        <w:rFonts w:hint="eastAsia"/>
      </w:rPr>
      <w:t>致谢</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Chinese Std GBT7714 (numeric) &lt;/Style&gt;&lt;LeftDelim&gt;{&lt;/LeftDelim&gt;&lt;RightDelim&gt;}&lt;/RightDelim&gt;&lt;FontName&gt;Times New Roman&lt;/FontName&gt;&lt;FontSize&gt;12&lt;/FontSize&gt;&lt;ReflistTitle&gt;&lt;/ReflistTitle&gt;&lt;StartingRefnum&gt;1&lt;/StartingRefnum&gt;&lt;FirstLineIndent&gt;0&lt;/FirstLineIndent&gt;&lt;HangingIndent&gt;0&lt;/HangingIndent&gt;&lt;LineSpacing&gt;1&lt;/LineSpacing&gt;&lt;SpaceAfter&gt;0&lt;/SpaceAfter&gt;&lt;HyperlinksEnabled&gt;0&lt;/HyperlinksEnabled&gt;&lt;HyperlinksVisible&gt;0&lt;/HyperlinksVisible&gt;&lt;EnableBibliographyCategories&gt;0&lt;/EnableBibliographyCategories&gt;&lt;/ENLayout&gt;"/>
    <w:docVar w:name="EN.Libraries" w:val="&lt;Libraries&gt;&lt;item db-id=&quot;925sw0zfnrxdf0ez25sxser5t9tzeaswtr5d&quot;&gt;我的EndNote库&lt;record-ids&gt;&lt;item&gt;78&lt;/item&gt;&lt;item&gt;83&lt;/item&gt;&lt;item&gt;90&lt;/item&gt;&lt;item&gt;93&lt;/item&gt;&lt;item&gt;94&lt;/item&gt;&lt;item&gt;95&lt;/item&gt;&lt;item&gt;98&lt;/item&gt;&lt;item&gt;99&lt;/item&gt;&lt;item&gt;100&lt;/item&gt;&lt;item&gt;101&lt;/item&gt;&lt;item&gt;102&lt;/item&gt;&lt;item&gt;103&lt;/item&gt;&lt;item&gt;104&lt;/item&gt;&lt;item&gt;105&lt;/item&gt;&lt;item&gt;106&lt;/item&gt;&lt;item&gt;107&lt;/item&gt;&lt;item&gt;108&lt;/item&gt;&lt;item&gt;109&lt;/item&gt;&lt;item&gt;110&lt;/item&gt;&lt;item&gt;111&lt;/item&gt;&lt;item&gt;112&lt;/item&gt;&lt;item&gt;129&lt;/item&gt;&lt;item&gt;130&lt;/item&gt;&lt;item&gt;131&lt;/item&gt;&lt;item&gt;132&lt;/item&gt;&lt;item&gt;133&lt;/item&gt;&lt;item&gt;134&lt;/item&gt;&lt;item&gt;135&lt;/item&gt;&lt;item&gt;136&lt;/item&gt;&lt;/record-ids&gt;&lt;/item&gt;&lt;/Libraries&gt;"/>
  </w:docVars>
  <w:rsids>
    <w:rsidRoot w:val="00172A27"/>
    <w:rsid w:val="00016122"/>
    <w:rsid w:val="000162B1"/>
    <w:rsid w:val="00030899"/>
    <w:rsid w:val="00042F45"/>
    <w:rsid w:val="00043456"/>
    <w:rsid w:val="000602C6"/>
    <w:rsid w:val="00065526"/>
    <w:rsid w:val="00076C52"/>
    <w:rsid w:val="000A0A9B"/>
    <w:rsid w:val="000A0F34"/>
    <w:rsid w:val="000A70E9"/>
    <w:rsid w:val="000B2DF9"/>
    <w:rsid w:val="000B447A"/>
    <w:rsid w:val="000C1D7A"/>
    <w:rsid w:val="000C4E19"/>
    <w:rsid w:val="000D2CE6"/>
    <w:rsid w:val="000D5082"/>
    <w:rsid w:val="000F11AB"/>
    <w:rsid w:val="000F6FD6"/>
    <w:rsid w:val="000F7C4D"/>
    <w:rsid w:val="00100ADF"/>
    <w:rsid w:val="00121E5A"/>
    <w:rsid w:val="001234FA"/>
    <w:rsid w:val="00125D06"/>
    <w:rsid w:val="00126233"/>
    <w:rsid w:val="00127E7E"/>
    <w:rsid w:val="00135B39"/>
    <w:rsid w:val="00153D33"/>
    <w:rsid w:val="00153D4C"/>
    <w:rsid w:val="00156D87"/>
    <w:rsid w:val="0016136A"/>
    <w:rsid w:val="00164C67"/>
    <w:rsid w:val="00172A27"/>
    <w:rsid w:val="00184546"/>
    <w:rsid w:val="001A4769"/>
    <w:rsid w:val="001C2A7A"/>
    <w:rsid w:val="001C7414"/>
    <w:rsid w:val="001D1438"/>
    <w:rsid w:val="001E0151"/>
    <w:rsid w:val="001E61EA"/>
    <w:rsid w:val="001F2CC0"/>
    <w:rsid w:val="00200807"/>
    <w:rsid w:val="00202500"/>
    <w:rsid w:val="00213191"/>
    <w:rsid w:val="00214DA1"/>
    <w:rsid w:val="00231308"/>
    <w:rsid w:val="00232ACD"/>
    <w:rsid w:val="00247961"/>
    <w:rsid w:val="0026260D"/>
    <w:rsid w:val="002627BC"/>
    <w:rsid w:val="00262B2D"/>
    <w:rsid w:val="00281A98"/>
    <w:rsid w:val="002A4CC9"/>
    <w:rsid w:val="002B7E26"/>
    <w:rsid w:val="002C7686"/>
    <w:rsid w:val="002E4FB2"/>
    <w:rsid w:val="002E539E"/>
    <w:rsid w:val="002F0F7D"/>
    <w:rsid w:val="002F32EC"/>
    <w:rsid w:val="00320F23"/>
    <w:rsid w:val="00321D80"/>
    <w:rsid w:val="0033359D"/>
    <w:rsid w:val="00357881"/>
    <w:rsid w:val="00362D7C"/>
    <w:rsid w:val="0036654B"/>
    <w:rsid w:val="00374C80"/>
    <w:rsid w:val="003B4CAC"/>
    <w:rsid w:val="003C4785"/>
    <w:rsid w:val="003D4394"/>
    <w:rsid w:val="003D67DC"/>
    <w:rsid w:val="003D69AD"/>
    <w:rsid w:val="00424A58"/>
    <w:rsid w:val="00433C27"/>
    <w:rsid w:val="00451115"/>
    <w:rsid w:val="00467C5A"/>
    <w:rsid w:val="00481019"/>
    <w:rsid w:val="00484B0B"/>
    <w:rsid w:val="00493AD0"/>
    <w:rsid w:val="004A6343"/>
    <w:rsid w:val="004B09D3"/>
    <w:rsid w:val="004B2810"/>
    <w:rsid w:val="004B4D38"/>
    <w:rsid w:val="004D3D36"/>
    <w:rsid w:val="004D3D99"/>
    <w:rsid w:val="004D5C3B"/>
    <w:rsid w:val="004E717F"/>
    <w:rsid w:val="004F2DC4"/>
    <w:rsid w:val="004F67D9"/>
    <w:rsid w:val="00507A4E"/>
    <w:rsid w:val="005242C8"/>
    <w:rsid w:val="00524B68"/>
    <w:rsid w:val="005371F8"/>
    <w:rsid w:val="005423A5"/>
    <w:rsid w:val="00545222"/>
    <w:rsid w:val="0054656C"/>
    <w:rsid w:val="0055438C"/>
    <w:rsid w:val="00561C75"/>
    <w:rsid w:val="00563815"/>
    <w:rsid w:val="00577A8A"/>
    <w:rsid w:val="005828D6"/>
    <w:rsid w:val="005A1C01"/>
    <w:rsid w:val="005B2BE1"/>
    <w:rsid w:val="005B5C9A"/>
    <w:rsid w:val="005C29ED"/>
    <w:rsid w:val="005C6825"/>
    <w:rsid w:val="005D4ADA"/>
    <w:rsid w:val="005F038A"/>
    <w:rsid w:val="005F18E0"/>
    <w:rsid w:val="00620136"/>
    <w:rsid w:val="006342E5"/>
    <w:rsid w:val="00647278"/>
    <w:rsid w:val="006540FF"/>
    <w:rsid w:val="00656E6E"/>
    <w:rsid w:val="00662B2A"/>
    <w:rsid w:val="00683FC9"/>
    <w:rsid w:val="00684DB8"/>
    <w:rsid w:val="00685F71"/>
    <w:rsid w:val="006B1F1A"/>
    <w:rsid w:val="006B6D2B"/>
    <w:rsid w:val="006B7114"/>
    <w:rsid w:val="006C1564"/>
    <w:rsid w:val="006D44F0"/>
    <w:rsid w:val="006F14C7"/>
    <w:rsid w:val="007076D3"/>
    <w:rsid w:val="00715423"/>
    <w:rsid w:val="007218D8"/>
    <w:rsid w:val="0072259B"/>
    <w:rsid w:val="00723559"/>
    <w:rsid w:val="0072356A"/>
    <w:rsid w:val="00727385"/>
    <w:rsid w:val="00731CD6"/>
    <w:rsid w:val="007328CA"/>
    <w:rsid w:val="00733347"/>
    <w:rsid w:val="007415B8"/>
    <w:rsid w:val="0075329E"/>
    <w:rsid w:val="007723FD"/>
    <w:rsid w:val="00774B91"/>
    <w:rsid w:val="00780A85"/>
    <w:rsid w:val="00792DB9"/>
    <w:rsid w:val="00793432"/>
    <w:rsid w:val="007A1E30"/>
    <w:rsid w:val="007A5094"/>
    <w:rsid w:val="007A6F70"/>
    <w:rsid w:val="007B1AA5"/>
    <w:rsid w:val="007B772E"/>
    <w:rsid w:val="007C15D4"/>
    <w:rsid w:val="007C735A"/>
    <w:rsid w:val="007D0F4D"/>
    <w:rsid w:val="007E3438"/>
    <w:rsid w:val="007E5B4D"/>
    <w:rsid w:val="008015D0"/>
    <w:rsid w:val="00804F01"/>
    <w:rsid w:val="00812265"/>
    <w:rsid w:val="00820159"/>
    <w:rsid w:val="00820675"/>
    <w:rsid w:val="008216D2"/>
    <w:rsid w:val="00823082"/>
    <w:rsid w:val="00823B89"/>
    <w:rsid w:val="00841825"/>
    <w:rsid w:val="00843178"/>
    <w:rsid w:val="00843FD2"/>
    <w:rsid w:val="00846392"/>
    <w:rsid w:val="008639A3"/>
    <w:rsid w:val="0086563E"/>
    <w:rsid w:val="008757C9"/>
    <w:rsid w:val="00877021"/>
    <w:rsid w:val="00885272"/>
    <w:rsid w:val="008A4363"/>
    <w:rsid w:val="008B6567"/>
    <w:rsid w:val="008C17FD"/>
    <w:rsid w:val="008C7972"/>
    <w:rsid w:val="008D7C90"/>
    <w:rsid w:val="00902951"/>
    <w:rsid w:val="00910239"/>
    <w:rsid w:val="009106CB"/>
    <w:rsid w:val="009128CD"/>
    <w:rsid w:val="00917B7C"/>
    <w:rsid w:val="0092269F"/>
    <w:rsid w:val="0093385A"/>
    <w:rsid w:val="00943E2E"/>
    <w:rsid w:val="009638C5"/>
    <w:rsid w:val="00971025"/>
    <w:rsid w:val="00971E09"/>
    <w:rsid w:val="0097513F"/>
    <w:rsid w:val="00976875"/>
    <w:rsid w:val="009853F0"/>
    <w:rsid w:val="009A47A0"/>
    <w:rsid w:val="009B2F84"/>
    <w:rsid w:val="009B387B"/>
    <w:rsid w:val="009B5247"/>
    <w:rsid w:val="009D5574"/>
    <w:rsid w:val="009D6C8E"/>
    <w:rsid w:val="009E1A99"/>
    <w:rsid w:val="009E3085"/>
    <w:rsid w:val="009F55F4"/>
    <w:rsid w:val="00A04C84"/>
    <w:rsid w:val="00A0564A"/>
    <w:rsid w:val="00A06185"/>
    <w:rsid w:val="00A114EE"/>
    <w:rsid w:val="00A11BDB"/>
    <w:rsid w:val="00A2758A"/>
    <w:rsid w:val="00A27E4F"/>
    <w:rsid w:val="00A35023"/>
    <w:rsid w:val="00A573C7"/>
    <w:rsid w:val="00A63D4B"/>
    <w:rsid w:val="00A727F6"/>
    <w:rsid w:val="00A8518D"/>
    <w:rsid w:val="00AA1BD0"/>
    <w:rsid w:val="00AB1529"/>
    <w:rsid w:val="00AB4F78"/>
    <w:rsid w:val="00AB692C"/>
    <w:rsid w:val="00AC5EC5"/>
    <w:rsid w:val="00AF4EC4"/>
    <w:rsid w:val="00AF54FE"/>
    <w:rsid w:val="00B20122"/>
    <w:rsid w:val="00B337AC"/>
    <w:rsid w:val="00B42E1A"/>
    <w:rsid w:val="00B60C86"/>
    <w:rsid w:val="00B61009"/>
    <w:rsid w:val="00B62A2F"/>
    <w:rsid w:val="00B63B79"/>
    <w:rsid w:val="00B77632"/>
    <w:rsid w:val="00B77CEE"/>
    <w:rsid w:val="00B80F50"/>
    <w:rsid w:val="00BA0887"/>
    <w:rsid w:val="00BA7E41"/>
    <w:rsid w:val="00BB0446"/>
    <w:rsid w:val="00BB7794"/>
    <w:rsid w:val="00BC69AB"/>
    <w:rsid w:val="00BC7600"/>
    <w:rsid w:val="00BD4E4E"/>
    <w:rsid w:val="00BE2F05"/>
    <w:rsid w:val="00BE32D4"/>
    <w:rsid w:val="00BE6AC5"/>
    <w:rsid w:val="00BE7B6D"/>
    <w:rsid w:val="00BF6710"/>
    <w:rsid w:val="00C01962"/>
    <w:rsid w:val="00C03A23"/>
    <w:rsid w:val="00C04019"/>
    <w:rsid w:val="00C10433"/>
    <w:rsid w:val="00C12729"/>
    <w:rsid w:val="00C1664B"/>
    <w:rsid w:val="00C23CF5"/>
    <w:rsid w:val="00C4102F"/>
    <w:rsid w:val="00C4210B"/>
    <w:rsid w:val="00C542EF"/>
    <w:rsid w:val="00C6454E"/>
    <w:rsid w:val="00C66013"/>
    <w:rsid w:val="00C67A47"/>
    <w:rsid w:val="00C72AF3"/>
    <w:rsid w:val="00C76B3E"/>
    <w:rsid w:val="00C90089"/>
    <w:rsid w:val="00CB19FD"/>
    <w:rsid w:val="00CB6A36"/>
    <w:rsid w:val="00CC0682"/>
    <w:rsid w:val="00CC5DE1"/>
    <w:rsid w:val="00CE2845"/>
    <w:rsid w:val="00CF6798"/>
    <w:rsid w:val="00CF789A"/>
    <w:rsid w:val="00D041AE"/>
    <w:rsid w:val="00D04D21"/>
    <w:rsid w:val="00D11E00"/>
    <w:rsid w:val="00D139F3"/>
    <w:rsid w:val="00D21C81"/>
    <w:rsid w:val="00D539ED"/>
    <w:rsid w:val="00D65DCE"/>
    <w:rsid w:val="00D860F5"/>
    <w:rsid w:val="00D9362F"/>
    <w:rsid w:val="00DA2718"/>
    <w:rsid w:val="00DA3C52"/>
    <w:rsid w:val="00DA3D3B"/>
    <w:rsid w:val="00DB1A3F"/>
    <w:rsid w:val="00DB6B3F"/>
    <w:rsid w:val="00DC5845"/>
    <w:rsid w:val="00DE0947"/>
    <w:rsid w:val="00DE28CF"/>
    <w:rsid w:val="00E11DFD"/>
    <w:rsid w:val="00E12D66"/>
    <w:rsid w:val="00E16A64"/>
    <w:rsid w:val="00E3264B"/>
    <w:rsid w:val="00E5191E"/>
    <w:rsid w:val="00E573E3"/>
    <w:rsid w:val="00E62EE0"/>
    <w:rsid w:val="00E6395D"/>
    <w:rsid w:val="00E76F82"/>
    <w:rsid w:val="00E8113B"/>
    <w:rsid w:val="00E904A2"/>
    <w:rsid w:val="00EA4497"/>
    <w:rsid w:val="00EB0286"/>
    <w:rsid w:val="00EB2171"/>
    <w:rsid w:val="00EB66F0"/>
    <w:rsid w:val="00EB71E4"/>
    <w:rsid w:val="00EC3C9F"/>
    <w:rsid w:val="00ED1288"/>
    <w:rsid w:val="00ED38EE"/>
    <w:rsid w:val="00EE378E"/>
    <w:rsid w:val="00EF0522"/>
    <w:rsid w:val="00F05C78"/>
    <w:rsid w:val="00F07C50"/>
    <w:rsid w:val="00F2598D"/>
    <w:rsid w:val="00F34581"/>
    <w:rsid w:val="00F34CC6"/>
    <w:rsid w:val="00F44E3D"/>
    <w:rsid w:val="00F4776B"/>
    <w:rsid w:val="00F53CE3"/>
    <w:rsid w:val="00F57683"/>
    <w:rsid w:val="00F63BD1"/>
    <w:rsid w:val="00F719D4"/>
    <w:rsid w:val="00F7480C"/>
    <w:rsid w:val="00F84BBD"/>
    <w:rsid w:val="00F92606"/>
    <w:rsid w:val="00F97814"/>
    <w:rsid w:val="00FA12BE"/>
    <w:rsid w:val="00FB5495"/>
    <w:rsid w:val="00FC1D97"/>
    <w:rsid w:val="00FC27FF"/>
    <w:rsid w:val="00FD38E6"/>
    <w:rsid w:val="00FD3A6E"/>
    <w:rsid w:val="00FD66EB"/>
    <w:rsid w:val="00FF0643"/>
    <w:rsid w:val="00FF7893"/>
    <w:rsid w:val="03A10CAA"/>
    <w:rsid w:val="04DC4690"/>
    <w:rsid w:val="07A174CB"/>
    <w:rsid w:val="092B6B72"/>
    <w:rsid w:val="0C7451AE"/>
    <w:rsid w:val="0F0D108E"/>
    <w:rsid w:val="15477903"/>
    <w:rsid w:val="1F857F85"/>
    <w:rsid w:val="1FE22078"/>
    <w:rsid w:val="213A656E"/>
    <w:rsid w:val="222B5EB7"/>
    <w:rsid w:val="23FC79F0"/>
    <w:rsid w:val="2A2655C1"/>
    <w:rsid w:val="2DFE29B2"/>
    <w:rsid w:val="2EB039FA"/>
    <w:rsid w:val="356B689E"/>
    <w:rsid w:val="38D04FBD"/>
    <w:rsid w:val="39F5381C"/>
    <w:rsid w:val="3D19329D"/>
    <w:rsid w:val="3D892038"/>
    <w:rsid w:val="41B307C3"/>
    <w:rsid w:val="430622FC"/>
    <w:rsid w:val="44311C38"/>
    <w:rsid w:val="464F4558"/>
    <w:rsid w:val="47A20E4C"/>
    <w:rsid w:val="48B6041B"/>
    <w:rsid w:val="4FBF4505"/>
    <w:rsid w:val="50DE21C3"/>
    <w:rsid w:val="56B934E5"/>
    <w:rsid w:val="5F724B4A"/>
    <w:rsid w:val="628B5E9C"/>
    <w:rsid w:val="69F820EF"/>
    <w:rsid w:val="6B025910"/>
    <w:rsid w:val="6C8150BB"/>
    <w:rsid w:val="6C922387"/>
    <w:rsid w:val="7A75024D"/>
    <w:rsid w:val="7A9E63F0"/>
    <w:rsid w:val="7D3271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A410861"/>
  <w15:docId w15:val="{3DBE6CB5-2CB1-47EC-A44E-3FB14831F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480"/>
      <w:jc w:val="both"/>
    </w:pPr>
    <w:rPr>
      <w:rFonts w:ascii="Times New Roman" w:eastAsia="宋体" w:hAnsi="Times New Roman"/>
      <w:color w:val="000000"/>
      <w:kern w:val="2"/>
      <w:sz w:val="24"/>
      <w:szCs w:val="22"/>
    </w:rPr>
  </w:style>
  <w:style w:type="paragraph" w:styleId="1">
    <w:name w:val="heading 1"/>
    <w:basedOn w:val="a"/>
    <w:next w:val="a"/>
    <w:link w:val="10"/>
    <w:uiPriority w:val="9"/>
    <w:qFormat/>
    <w:pPr>
      <w:keepNext/>
      <w:keepLines/>
      <w:spacing w:beforeLines="50" w:before="120" w:afterLines="50" w:after="120" w:line="440" w:lineRule="exact"/>
      <w:jc w:val="center"/>
      <w:outlineLvl w:val="0"/>
    </w:pPr>
    <w:rPr>
      <w:rFonts w:eastAsia="黑体"/>
      <w:b/>
      <w:bCs/>
      <w:kern w:val="44"/>
      <w:sz w:val="32"/>
      <w:szCs w:val="44"/>
    </w:rPr>
  </w:style>
  <w:style w:type="paragraph" w:styleId="2">
    <w:name w:val="heading 2"/>
    <w:basedOn w:val="a"/>
    <w:next w:val="a"/>
    <w:link w:val="20"/>
    <w:uiPriority w:val="9"/>
    <w:unhideWhenUsed/>
    <w:qFormat/>
    <w:pPr>
      <w:keepNext/>
      <w:keepLines/>
      <w:spacing w:beforeLines="50" w:before="120" w:afterLines="50" w:after="120" w:line="440" w:lineRule="exact"/>
      <w:jc w:val="left"/>
      <w:outlineLvl w:val="1"/>
    </w:pPr>
    <w:rPr>
      <w:rFonts w:eastAsia="黑体" w:cstheme="majorBidi"/>
      <w:b/>
      <w:bCs/>
      <w:sz w:val="28"/>
      <w:szCs w:val="32"/>
    </w:rPr>
  </w:style>
  <w:style w:type="paragraph" w:styleId="3">
    <w:name w:val="heading 3"/>
    <w:basedOn w:val="a"/>
    <w:next w:val="a"/>
    <w:link w:val="30"/>
    <w:uiPriority w:val="9"/>
    <w:semiHidden/>
    <w:unhideWhenUsed/>
    <w:qFormat/>
    <w:pPr>
      <w:keepNext/>
      <w:keepLines/>
      <w:spacing w:before="120" w:after="120" w:line="440" w:lineRule="atLeast"/>
      <w:jc w:val="left"/>
      <w:outlineLvl w:val="2"/>
    </w:pPr>
    <w:rPr>
      <w:rFonts w:eastAsia="黑体"/>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jc w:val="center"/>
    </w:pPr>
    <w:rPr>
      <w:rFonts w:asciiTheme="majorHAnsi" w:hAnsiTheme="majorHAnsi" w:cstheme="majorBidi"/>
      <w:b/>
      <w:sz w:val="21"/>
      <w:szCs w:val="20"/>
    </w:rPr>
  </w:style>
  <w:style w:type="paragraph" w:styleId="TOC3">
    <w:name w:val="toc 3"/>
    <w:basedOn w:val="a"/>
    <w:next w:val="a"/>
    <w:autoRedefine/>
    <w:uiPriority w:val="39"/>
    <w:unhideWhenUsed/>
    <w:qFormat/>
    <w:pPr>
      <w:tabs>
        <w:tab w:val="right" w:leader="dot" w:pos="8296"/>
      </w:tabs>
      <w:ind w:leftChars="400" w:left="960" w:firstLineChars="0" w:firstLine="0"/>
    </w:p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8296"/>
      </w:tabs>
      <w:spacing w:beforeLines="50" w:before="156" w:afterLines="50" w:after="156"/>
      <w:ind w:firstLineChars="0" w:firstLine="0"/>
      <w:jc w:val="center"/>
    </w:pPr>
    <w:rPr>
      <w:b/>
      <w:sz w:val="28"/>
      <w:szCs w:val="36"/>
    </w:rPr>
  </w:style>
  <w:style w:type="paragraph" w:styleId="TOC2">
    <w:name w:val="toc 2"/>
    <w:basedOn w:val="a"/>
    <w:next w:val="a"/>
    <w:autoRedefine/>
    <w:uiPriority w:val="39"/>
    <w:unhideWhenUsed/>
    <w:qFormat/>
    <w:pPr>
      <w:tabs>
        <w:tab w:val="right" w:leader="dot" w:pos="8296"/>
      </w:tabs>
      <w:ind w:leftChars="200" w:left="480" w:firstLineChars="0" w:firstLine="0"/>
    </w:pPr>
  </w:style>
  <w:style w:type="paragraph" w:styleId="a8">
    <w:name w:val="Title"/>
    <w:basedOn w:val="a"/>
    <w:next w:val="a"/>
    <w:link w:val="a9"/>
    <w:uiPriority w:val="10"/>
    <w:qFormat/>
    <w:pPr>
      <w:spacing w:beforeLines="50" w:before="50" w:afterLines="50" w:after="50"/>
      <w:jc w:val="left"/>
      <w:outlineLvl w:val="2"/>
    </w:pPr>
    <w:rPr>
      <w:rFonts w:eastAsia="黑体" w:cstheme="majorBidi"/>
      <w:b/>
      <w:bCs/>
      <w:szCs w:val="32"/>
    </w:rPr>
  </w:style>
  <w:style w:type="table" w:styleId="aa">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qFormat/>
    <w:rPr>
      <w:color w:val="0563C1" w:themeColor="hyperlink"/>
      <w:u w:val="single"/>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character" w:customStyle="1" w:styleId="10">
    <w:name w:val="标题 1 字符"/>
    <w:basedOn w:val="a0"/>
    <w:link w:val="1"/>
    <w:uiPriority w:val="9"/>
    <w:qFormat/>
    <w:rPr>
      <w:rFonts w:ascii="Times New Roman" w:eastAsia="黑体" w:hAnsi="Times New Roman"/>
      <w:b/>
      <w:bCs/>
      <w:kern w:val="44"/>
      <w:sz w:val="32"/>
      <w:szCs w:val="44"/>
    </w:rPr>
  </w:style>
  <w:style w:type="character" w:customStyle="1" w:styleId="20">
    <w:name w:val="标题 2 字符"/>
    <w:basedOn w:val="a0"/>
    <w:link w:val="2"/>
    <w:uiPriority w:val="9"/>
    <w:qFormat/>
    <w:rPr>
      <w:rFonts w:ascii="Times New Roman" w:eastAsia="黑体" w:hAnsi="Times New Roman" w:cstheme="majorBidi"/>
      <w:b/>
      <w:bCs/>
      <w:sz w:val="28"/>
      <w:szCs w:val="32"/>
    </w:rPr>
  </w:style>
  <w:style w:type="character" w:customStyle="1" w:styleId="a9">
    <w:name w:val="标题 字符"/>
    <w:basedOn w:val="a0"/>
    <w:link w:val="a8"/>
    <w:uiPriority w:val="10"/>
    <w:qFormat/>
    <w:rPr>
      <w:rFonts w:ascii="Times New Roman" w:eastAsia="黑体" w:hAnsi="Times New Roman" w:cstheme="majorBidi"/>
      <w:b/>
      <w:bCs/>
      <w:sz w:val="24"/>
      <w:szCs w:val="32"/>
    </w:rPr>
  </w:style>
  <w:style w:type="paragraph" w:customStyle="1" w:styleId="EndNoteBibliographyTitle">
    <w:name w:val="EndNote Bibliography Title"/>
    <w:basedOn w:val="a"/>
    <w:link w:val="EndNoteBibliographyTitle0"/>
    <w:qFormat/>
    <w:pPr>
      <w:jc w:val="center"/>
    </w:pPr>
    <w:rPr>
      <w:rFonts w:cs="Times New Roman"/>
    </w:rPr>
  </w:style>
  <w:style w:type="character" w:customStyle="1" w:styleId="EndNoteBibliographyTitle0">
    <w:name w:val="EndNote Bibliography Title 字符"/>
    <w:basedOn w:val="a0"/>
    <w:link w:val="EndNoteBibliographyTitle"/>
    <w:qFormat/>
    <w:rPr>
      <w:rFonts w:ascii="Times New Roman" w:eastAsia="宋体" w:hAnsi="Times New Roman" w:cs="Times New Roman"/>
      <w:sz w:val="24"/>
    </w:rPr>
  </w:style>
  <w:style w:type="paragraph" w:customStyle="1" w:styleId="EndNoteBibliography">
    <w:name w:val="EndNote Bibliography"/>
    <w:basedOn w:val="a"/>
    <w:link w:val="EndNoteBibliography0"/>
    <w:qFormat/>
    <w:pPr>
      <w:spacing w:line="360" w:lineRule="exact"/>
    </w:pPr>
    <w:rPr>
      <w:rFonts w:cs="Times New Roman"/>
    </w:rPr>
  </w:style>
  <w:style w:type="character" w:customStyle="1" w:styleId="EndNoteBibliography0">
    <w:name w:val="EndNote Bibliography 字符"/>
    <w:basedOn w:val="a0"/>
    <w:link w:val="EndNoteBibliography"/>
    <w:qFormat/>
    <w:rPr>
      <w:rFonts w:ascii="Times New Roman" w:eastAsia="宋体" w:hAnsi="Times New Roman" w:cs="Times New Roman"/>
      <w:sz w:val="24"/>
    </w:rPr>
  </w:style>
  <w:style w:type="character" w:styleId="ac">
    <w:name w:val="Placeholder Text"/>
    <w:basedOn w:val="a0"/>
    <w:uiPriority w:val="99"/>
    <w:semiHidden/>
    <w:qFormat/>
    <w:rPr>
      <w:color w:val="808080"/>
    </w:rPr>
  </w:style>
  <w:style w:type="table" w:customStyle="1" w:styleId="ad">
    <w:name w:val="三线表"/>
    <w:basedOn w:val="a1"/>
    <w:uiPriority w:val="99"/>
    <w:qFormat/>
    <w:pPr>
      <w:jc w:val="center"/>
    </w:pPr>
    <w:rPr>
      <w:rFonts w:ascii="Times New Roman" w:eastAsia="宋体" w:hAnsi="Times New Roma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e">
    <w:name w:val="公式"/>
    <w:basedOn w:val="a"/>
    <w:link w:val="af"/>
    <w:qFormat/>
    <w:pPr>
      <w:tabs>
        <w:tab w:val="center" w:pos="4800"/>
        <w:tab w:val="right" w:pos="9600"/>
      </w:tabs>
      <w:spacing w:line="240" w:lineRule="auto"/>
    </w:pPr>
    <w:rPr>
      <w:szCs w:val="28"/>
    </w:rPr>
  </w:style>
  <w:style w:type="character" w:customStyle="1" w:styleId="af">
    <w:name w:val="公式 字符"/>
    <w:basedOn w:val="a0"/>
    <w:link w:val="ae"/>
    <w:qFormat/>
    <w:rPr>
      <w:rFonts w:ascii="Times New Roman" w:eastAsia="宋体" w:hAnsi="Times New Roman"/>
      <w:sz w:val="24"/>
      <w:szCs w:val="28"/>
    </w:rPr>
  </w:style>
  <w:style w:type="character" w:customStyle="1" w:styleId="30">
    <w:name w:val="标题 3 字符"/>
    <w:basedOn w:val="a0"/>
    <w:link w:val="3"/>
    <w:uiPriority w:val="9"/>
    <w:semiHidden/>
    <w:qFormat/>
    <w:rPr>
      <w:rFonts w:ascii="Times New Roman" w:eastAsia="宋体" w:hAnsi="Times New Roman"/>
      <w:b/>
      <w:bCs/>
      <w:sz w:val="32"/>
      <w:szCs w:val="32"/>
    </w:rPr>
  </w:style>
  <w:style w:type="paragraph" w:customStyle="1" w:styleId="TOC10">
    <w:name w:val="TOC 标题1"/>
    <w:basedOn w:val="1"/>
    <w:next w:val="a"/>
    <w:uiPriority w:val="39"/>
    <w:unhideWhenUsed/>
    <w:qFormat/>
    <w:pPr>
      <w:widowControl/>
      <w:spacing w:beforeLines="0" w:afterLines="0" w:after="0" w:line="259" w:lineRule="auto"/>
      <w:ind w:firstLineChars="0" w:firstLine="0"/>
      <w:jc w:val="left"/>
      <w:outlineLvl w:val="9"/>
    </w:pPr>
    <w:rPr>
      <w:rFonts w:asciiTheme="majorHAnsi" w:eastAsiaTheme="majorEastAsia" w:hAnsiTheme="majorHAnsi" w:cstheme="majorBidi"/>
      <w:b w:val="0"/>
      <w:bCs w:val="0"/>
      <w:color w:val="2E74B5" w:themeColor="accent1" w:themeShade="BF"/>
      <w:kern w:val="0"/>
      <w:szCs w:val="32"/>
    </w:rPr>
  </w:style>
  <w:style w:type="paragraph" w:customStyle="1" w:styleId="11">
    <w:name w:val="书目1"/>
    <w:basedOn w:val="a"/>
    <w:next w:val="a"/>
    <w:uiPriority w:val="37"/>
    <w:unhideWhenUsed/>
    <w:qFormat/>
  </w:style>
  <w:style w:type="paragraph" w:styleId="af0">
    <w:name w:val="Bibliography"/>
    <w:basedOn w:val="a"/>
    <w:next w:val="a"/>
    <w:uiPriority w:val="37"/>
    <w:unhideWhenUsed/>
    <w:rsid w:val="008206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footer" Target="footer7.xml"/><Relationship Id="rId39" Type="http://schemas.openxmlformats.org/officeDocument/2006/relationships/image" Target="media/image12.png"/><Relationship Id="rId21" Type="http://schemas.openxmlformats.org/officeDocument/2006/relationships/header" Target="header8.xml"/><Relationship Id="rId34" Type="http://schemas.openxmlformats.org/officeDocument/2006/relationships/image" Target="media/image8.png"/><Relationship Id="rId42" Type="http://schemas.openxmlformats.org/officeDocument/2006/relationships/image" Target="media/image15.png"/><Relationship Id="rId47" Type="http://schemas.openxmlformats.org/officeDocument/2006/relationships/header" Target="header17.xml"/><Relationship Id="rId50" Type="http://schemas.openxmlformats.org/officeDocument/2006/relationships/footer" Target="footer9.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header" Target="header5.xml"/><Relationship Id="rId29" Type="http://schemas.openxmlformats.org/officeDocument/2006/relationships/image" Target="media/image4.png"/><Relationship Id="rId11" Type="http://schemas.openxmlformats.org/officeDocument/2006/relationships/footer" Target="footer1.xml"/><Relationship Id="rId24" Type="http://schemas.openxmlformats.org/officeDocument/2006/relationships/image" Target="media/image2.png"/><Relationship Id="rId32" Type="http://schemas.openxmlformats.org/officeDocument/2006/relationships/image" Target="media/image6.png"/><Relationship Id="rId37" Type="http://schemas.openxmlformats.org/officeDocument/2006/relationships/image" Target="media/image11.png"/><Relationship Id="rId40" Type="http://schemas.openxmlformats.org/officeDocument/2006/relationships/image" Target="media/image13.png"/><Relationship Id="rId45" Type="http://schemas.openxmlformats.org/officeDocument/2006/relationships/header" Target="header15.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28" Type="http://schemas.openxmlformats.org/officeDocument/2006/relationships/image" Target="media/image3.png"/><Relationship Id="rId36" Type="http://schemas.openxmlformats.org/officeDocument/2006/relationships/image" Target="media/image10.png"/><Relationship Id="rId49" Type="http://schemas.openxmlformats.org/officeDocument/2006/relationships/header" Target="header18.xml"/><Relationship Id="rId10" Type="http://schemas.openxmlformats.org/officeDocument/2006/relationships/header" Target="header2.xml"/><Relationship Id="rId19" Type="http://schemas.openxmlformats.org/officeDocument/2006/relationships/header" Target="header7.xml"/><Relationship Id="rId31" Type="http://schemas.openxmlformats.org/officeDocument/2006/relationships/image" Target="media/image5.png"/><Relationship Id="rId44" Type="http://schemas.openxmlformats.org/officeDocument/2006/relationships/header" Target="header14.xm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header" Target="header11.xml"/><Relationship Id="rId30" Type="http://schemas.openxmlformats.org/officeDocument/2006/relationships/header" Target="header12.xml"/><Relationship Id="rId35" Type="http://schemas.openxmlformats.org/officeDocument/2006/relationships/image" Target="media/image9.png"/><Relationship Id="rId43" Type="http://schemas.openxmlformats.org/officeDocument/2006/relationships/image" Target="media/image16.png"/><Relationship Id="rId48" Type="http://schemas.openxmlformats.org/officeDocument/2006/relationships/footer" Target="footer8.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image" Target="media/image7.png"/><Relationship Id="rId38" Type="http://schemas.openxmlformats.org/officeDocument/2006/relationships/header" Target="header13.xml"/><Relationship Id="rId46" Type="http://schemas.openxmlformats.org/officeDocument/2006/relationships/header" Target="header16.xml"/><Relationship Id="rId20" Type="http://schemas.openxmlformats.org/officeDocument/2006/relationships/footer" Target="footer5.xml"/><Relationship Id="rId41"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8F31AEF-910E-4FD7-BDB7-E405D4FA41D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43</Pages>
  <Words>12352</Words>
  <Characters>70412</Characters>
  <Application>Microsoft Office Word</Application>
  <DocSecurity>0</DocSecurity>
  <Lines>586</Lines>
  <Paragraphs>165</Paragraphs>
  <ScaleCrop>false</ScaleCrop>
  <Company/>
  <LinksUpToDate>false</LinksUpToDate>
  <CharactersWithSpaces>82599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Shimmer</cp:lastModifiedBy>
  <cp:revision>221</cp:revision>
  <dcterms:created xsi:type="dcterms:W3CDTF">2025-05-11T08:16:00Z</dcterms:created>
  <dcterms:modified xsi:type="dcterms:W3CDTF">2026-06-06T15:19:00Z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eyJoZGlkIjoiOTBmMGRlZTk5NzYwMGU2OGQ2YmU2M2NkMzg3MmEwYjciLCJ1c2VySWQiOiIxMjM2OTU3OTk4In0=</vt:lpwstr>
  </property>
  <property fmtid="{D5CDD505-2E9C-101B-9397-08002B2CF9AE}" pid="3" name="KSOProductBuildVer">
    <vt:lpwstr>2052-12.1.0.26375</vt:lpwstr>
  </property>
  <property fmtid="{D5CDD505-2E9C-101B-9397-08002B2CF9AE}" pid="4" name="ICV">
    <vt:lpwstr>5820CC632758411292C5C6917330DCAE_12</vt:lpwstr>
  </property>
  <property fmtid="{D5CDD505-2E9C-101B-9397-08002B2CF9AE}" pid="5" name="ZOTERO_PREF_1">
    <vt:lpwstr>&lt;data data-version="3" zotero-version="9.0.4"&gt;&lt;session id="tsifDIoy"/&gt;&lt;style id="http://www.zotero.org/styles/china-national-standard-gb-t-7714-2015-numeric-sjx" hasBibliography="1" bibliographyStyleHasBeenSet="1"/&gt;&lt;prefs&gt;&lt;pref name="fieldType" value="Fie</vt:lpwstr>
  </property>
  <property fmtid="{D5CDD505-2E9C-101B-9397-08002B2CF9AE}" pid="6" name="ZOTERO_PREF_2">
    <vt:lpwstr>ld"/&gt;&lt;/prefs&gt;&lt;/data&gt;</vt:lpwstr>
  </property>
</Properties>
</file>