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«Экипировка» — 6 слотов: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Позиция на экране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Оружие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Центр-лево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Оружие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Центр-право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 (Костюм)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Верх по центру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Низ-лево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Низ-право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слот — квадратная ячейка с иконкой предмета или пустой рамкой.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Нажатие на занятый слот → модальное окно: характеристики предмета, ограничения (класс/раса если есть), кнопки «Снять» и «Закрыть».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Нажатие на пустой слот → открывается сумка с автофильтром по типу слота.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«Сумка» — сетка 3×4 (12 ячеек на страницу):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Каждая ячейка: иконка предмета, уровень предмета, цветная рамка по редкости.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Навигация: стрелки ← → + счётчик X/Y в подвале блока.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Нажатие на предмет → модальное окно: название, тип, уровень, редкость, характеристики, ограничения по классу/расе (если есть), кнопки «Надеть» (если персонаж подходит), «Продать», «Закрыть».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«Продать» → подтверждение с расчётной ценой продажи и кнопками «Подтвердить» / «Отмена». Цена рассчитывается по формуле Торговли (см. Раздел «Характеристики»).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Три блока, прокручиваемых вертикально: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«Характеристики»</w:t>
      </w:r>
    </w:p>
    <w:p>
      <w:r>
        <w:rPr>
          <w:rFonts w:ascii="Arial" w:cs="Arial" w:eastAsia="Arial" w:hAnsi="Arial"/>
          <w:sz w:val="22"/>
          <w:szCs w:val="22"/>
        </w:rPr>
        <w:t xml:space="preserve">Полная таблица каждой характеристики с разбивкой по источникам: база + раса + класс + экипировка + навыки = итого. Например: 10 + 2 + 3 + 5 + 1 = 21.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Производные показатели (рассчитываются автоматически):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Урон: ближний / дальний / магический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крита (%) /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Максимальный HP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 /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 — итоговое значение с расчётными ценами покупки/продажи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«Навыки»</w:t>
      </w:r>
    </w:p>
    <w:p>
      <w:r>
        <w:rPr>
          <w:rFonts w:ascii="Arial" w:cs="Arial" w:eastAsia="Arial" w:hAnsi="Arial"/>
          <w:sz w:val="22"/>
          <w:szCs w:val="22"/>
        </w:rPr>
        <w:t xml:space="preserve">Список активных и пассивных навыков ОВ. Каждый навык: иконка + название + описание эффекта + уровень прокачки X/макс. Активные навыки — без уровня прокачки (изучены/не изучены).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«Статистика»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Собрано золота (за всё время)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