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2909D" w14:textId="7BFDB66F" w:rsidR="00484B5B" w:rsidRDefault="00FC2909">
      <w:pPr>
        <w:pStyle w:val="Heading1"/>
        <w:spacing w:before="0" w:after="120" w:line="275" w:lineRule="auto"/>
        <w:jc w:val="center"/>
        <w:rPr>
          <w:rFonts w:ascii="Google Sans" w:eastAsia="Google Sans" w:hAnsi="Google Sans" w:cs="Google Sans"/>
          <w:b w:val="0"/>
          <w:bCs w:val="0"/>
          <w:color w:val="1F1F1F"/>
          <w:sz w:val="36"/>
          <w:szCs w:val="36"/>
        </w:rPr>
      </w:pPr>
      <w:r>
        <w:rPr>
          <w:rFonts w:ascii="MS Mincho" w:hAnsi="MS Mincho" w:cs="MS Mincho" w:hint="eastAsia"/>
          <w:color w:val="1F1F1F"/>
          <w:sz w:val="40"/>
          <w:szCs w:val="40"/>
        </w:rPr>
        <w:t>単語音読過程の</w:t>
      </w:r>
      <w:r w:rsidR="00000000">
        <w:rPr>
          <w:rFonts w:ascii="Google Sans" w:eastAsia="Google Sans" w:hAnsi="Google Sans" w:cs="Google Sans"/>
          <w:color w:val="1F1F1F"/>
          <w:sz w:val="40"/>
          <w:szCs w:val="40"/>
        </w:rPr>
        <w:t>計算</w:t>
      </w:r>
      <w:r w:rsidR="00000000">
        <w:rPr>
          <w:rFonts w:ascii="Google Sans" w:eastAsia="Google Sans" w:hAnsi="Google Sans" w:cs="Google Sans" w:hint="eastAsia"/>
          <w:color w:val="1F1F1F"/>
          <w:sz w:val="40"/>
          <w:szCs w:val="40"/>
        </w:rPr>
        <w:t>モ</w:t>
      </w:r>
      <w:r w:rsidR="00000000">
        <w:rPr>
          <w:rFonts w:ascii="Google Sans" w:eastAsia="Google Sans" w:hAnsi="Google Sans" w:cs="Google Sans"/>
          <w:color w:val="1F1F1F"/>
          <w:sz w:val="40"/>
          <w:szCs w:val="40"/>
        </w:rPr>
        <w:t>デルの評価基準の転換</w:t>
      </w:r>
    </w:p>
    <w:p w14:paraId="0852AEB4" w14:textId="77777777" w:rsidR="00484B5B"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b w:val="0"/>
          <w:bCs w:val="0"/>
          <w:color w:val="1F1F1F"/>
          <w:sz w:val="32"/>
          <w:szCs w:val="32"/>
        </w:rPr>
        <w:t>–Spieler and Balota (1997) の包括的分析とアイテムレベル解析-</w:t>
      </w:r>
    </w:p>
    <w:p w14:paraId="6704F6CC"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序論：認知モデリングにおけるパラダイムシフトの胎動</w:t>
      </w:r>
    </w:p>
    <w:p w14:paraId="447CCDEB"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1990 年代後半、言語心理学および認知科学の領域は、人間の単語認知プロセスをどのようにモデル化すべきかという根本的な問いに直面していた。伝統的に、この分野は「第一世代（First-Wave）」と呼ばれる認知モデルによって支配されていた。これらは、Morton (1969)  のロゴジェンモデルや Forster (1976) のサーチモデルに代表されるように、隠喩的かつ記述的な枠組みであり、しばしば「ボックス・アンド・アロー（箱と矢印）」のアプローチと揶揄されることもあった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。これらのモデルは、単語頻度や綴りと音韻の規則性といった要因が認知処理に与える影響を説明するために、閾値や検索ビンといった抽象的なメカニズムを仮定していた。</w:t>
      </w:r>
    </w:p>
    <w:p w14:paraId="02F49A19"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しかし、1980年代後半から急速に台頭した「第二世代（Second-Wave）」のモデル、すなわちコネクショニズム（Connectionism）または並列分散処理（PDP: Parallel Distributed Processing）モデルは、より生物学的な妥当性と計算論的な具体性を帯びたアプローチとして期待を集めていた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。特に、Seidenberg and McClelland (1989) による分散表現モデル（以下SM89）や、その発展形である Plaut, McClelland, Seidenberg, and Patterson (1996) のモデル（以下 PMSP）は、明示的なルールをプログラムすることなく、言語の統計的規則性を学習によって獲得できることを示した点で革命的であった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7CC86FDE"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本報告書は、Daniel H. SpielerとDavid A. Balotaによる1997年の記念碑的研究『Bringing Computational Models of Word Naming Down to the Item Level（単語命名の計算モデルをアイテムレベルへ）』を起点とし、その理論的背景、方法論的革新、そして 20 年以上にわたる学術的波及効果を包括的に分析するものである。この研究は単なるモデルの比較にとどまらず、心理学実験の「要因計画（Factorial Design）」から「メガスタディ（Megastudy）」への移行を決定づけ、モデルの評価基準を「平均値の再現」から「個別の分散説明」へと厳格化した点で、分野全体の分水嶺となった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3078A019"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要因実験の限界とアイテムレベル解析の必要性</w:t>
      </w:r>
    </w:p>
    <w:p w14:paraId="1EA2A0A6"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従来の研究手法では、単語認知の研究は主に要因計画法に依存していた。研究者は単語を「高頻度語 vs 低頻度語」「規則語 vs 例外語」といったカテゴリーに分類し、条件間の平均反応時間（RT）の差を分散分析（ANOVA）によって検証してきた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。このアプローチは、主要な効果や交互作用を検出するには有効であったが、SpielerとBalotaはこれに重大な欠陥があることを指摘した。</w:t>
      </w:r>
    </w:p>
    <w:p w14:paraId="5FF9B14E"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第一に、言語変数は本質的に連続的である。例えば「PINT」という単語は、一般に例外語（irregular word）として分類されるが、4 文字中 3 文字までは規則的な読み（hint, mint, lintと</w:t>
      </w:r>
      <w:r>
        <w:rPr>
          <w:rFonts w:ascii="Google Sans" w:eastAsia="Google Sans" w:hAnsi="Google Sans" w:cs="Google Sans"/>
          <w:color w:val="1F1F1F"/>
        </w:rPr>
        <w:lastRenderedPageBreak/>
        <w:t xml:space="preserve">同様）に従っている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。これを単に「例外語」というバイナリなカテゴリに押し込むことは、その単語が持つ部分的な規則性や、近傍語（Neighborhood）からの支援効果といった微細な情報を捨象することを意味する。</w:t>
      </w:r>
    </w:p>
    <w:p w14:paraId="0913F599"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第二に、コネクショニズムモデルの最大の強みは、こうした準規則的（Quasi-regular）な領域における連続的な処理能力にあるはずであった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もしモデルが本当に人間の認知プロセスを模倣しているのであれば、人為的なカテゴリ分けによる平均値の比較ではなく、個々の単語（アイテム）ごとのパフォーマンスを正確に予測できるはずである。SpielerとBalotaは、モデルの評価を「要因レベル」から「アイテムレベル」へと引き下げることこそが、コネクショニズムモデルの真価を問う「ゴールドスタンダード」であると提唱した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5DC1B683"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方法論：大規模回帰分析アプローチの確立</w:t>
      </w:r>
    </w:p>
    <w:p w14:paraId="6B83A7D0"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Spieler と Balota (1997) の研究は、当時としては異例の規模で行われた。彼らは特定の実験条件に合わせて選定された少数の刺激語を用いるのではなく、当時の主要な計算モデル（SM89 および PMSP）が学習に使用した訓練コーパス全体を対象とした。</w:t>
      </w:r>
    </w:p>
    <w:p w14:paraId="34C9C9CE"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実験参加者と刺激語の特性</w:t>
      </w:r>
    </w:p>
    <w:p w14:paraId="3C4FA540" w14:textId="77777777" w:rsidR="00484B5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研究の基盤となったのは、ワシントン大学の学部生 31 名から収集された命名潜時（Naming Latency）データである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568351AE" w14:textId="77777777" w:rsidR="00484B5B"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刺激語:</w:t>
      </w:r>
      <w:r>
        <w:rPr>
          <w:rFonts w:ascii="Google Sans" w:eastAsia="Google Sans" w:hAnsi="Google Sans" w:cs="Google Sans"/>
          <w:color w:val="1F1F1F"/>
        </w:rPr>
        <w:t xml:space="preserve"> 単音節の英単語 2,870語。これらは SM89 および PMSP モデルの学習データセットと一致している。</w:t>
      </w:r>
    </w:p>
    <w:p w14:paraId="06E15A5A" w14:textId="77777777" w:rsidR="00484B5B"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頻度範囲:</w:t>
      </w:r>
      <w:r>
        <w:rPr>
          <w:rFonts w:ascii="Google Sans" w:eastAsia="Google Sans" w:hAnsi="Google Sans" w:cs="Google Sans"/>
          <w:color w:val="1F1F1F"/>
        </w:rPr>
        <w:t xml:space="preserve"> Kucera &amp; Francis (1967) のコーパスに基づき、0 回/ 100 万語から 68,246 回/100万語までの広範な頻度を持つ単語が含まれた。</w:t>
      </w:r>
    </w:p>
    <w:p w14:paraId="0E53F5E1" w14:textId="77777777" w:rsidR="00484B5B"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除外基準:</w:t>
      </w:r>
      <w:r>
        <w:rPr>
          <w:rFonts w:ascii="Google Sans" w:eastAsia="Google Sans" w:hAnsi="Google Sans" w:cs="Google Sans"/>
          <w:color w:val="1F1F1F"/>
        </w:rPr>
        <w:t xml:space="preserve"> 異音同綴語（Heterophonic homographs、例：WOUND）やデータ欠損のある項目を除き、最終的な解析には 2,820 語が用いられた。</w:t>
      </w:r>
    </w:p>
    <w:p w14:paraId="460C81A5"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このデータセットの構築自体が、後の「English Lexicon Project (ELP)」へと続くメガスタディの先駆けとなる重要な資産となった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。30 名前後の参加者数は現代の基準から見れば少なく見えるかもしれないが、2,800 語以上という項目数は、被験者間変動よりも項目間変動（Item Variance）に焦点を当てるという彼らの意図を明確に反映している。</w:t>
      </w:r>
    </w:p>
    <w:p w14:paraId="68D666AA"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評価対象となった計算モデル</w:t>
      </w:r>
    </w:p>
    <w:p w14:paraId="042D6BCB" w14:textId="77777777" w:rsidR="00484B5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本研究で比較検討されたのは、以下の2つの代表的な並列分散処理モデルである。</w:t>
      </w:r>
    </w:p>
    <w:p w14:paraId="5D8CEAAA" w14:textId="77777777" w:rsidR="00484B5B"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SM89 (Seidenberg &amp; McClelland, 1989):</w:t>
      </w:r>
    </w:p>
    <w:p w14:paraId="02136423" w14:textId="77777777" w:rsidR="00484B5B"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b/>
          <w:bCs/>
          <w:color w:val="1F1F1F"/>
        </w:rPr>
        <w:t>アーキテクチャ:</w:t>
      </w:r>
      <w:r>
        <w:rPr>
          <w:rFonts w:ascii="Google Sans" w:eastAsia="Google Sans" w:hAnsi="Google Sans" w:cs="Google Sans"/>
          <w:color w:val="1F1F1F"/>
        </w:rPr>
        <w:t xml:space="preserve"> フィードフォワード（Feed-forward）ネットワーク。</w:t>
      </w:r>
    </w:p>
    <w:p w14:paraId="3CF5472A" w14:textId="77777777" w:rsidR="00484B5B"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b/>
          <w:bCs/>
          <w:color w:val="1F1F1F"/>
        </w:rPr>
        <w:t>学習アルゴリズム:</w:t>
      </w:r>
      <w:r>
        <w:rPr>
          <w:rFonts w:ascii="Google Sans" w:eastAsia="Google Sans" w:hAnsi="Google Sans" w:cs="Google Sans"/>
          <w:color w:val="1F1F1F"/>
        </w:rPr>
        <w:t xml:space="preserve"> 二乗誤差和（Sum of Squared Error）を最小化するようにバックプロパゲーションで学習。</w:t>
      </w:r>
    </w:p>
    <w:p w14:paraId="28B7F5CC" w14:textId="77777777" w:rsidR="00484B5B"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b/>
          <w:bCs/>
          <w:color w:val="1F1F1F"/>
        </w:rPr>
        <w:lastRenderedPageBreak/>
        <w:t>パフォーマンス指標:</w:t>
      </w:r>
      <w:r>
        <w:rPr>
          <w:rFonts w:ascii="Google Sans" w:eastAsia="Google Sans" w:hAnsi="Google Sans" w:cs="Google Sans"/>
          <w:color w:val="1F1F1F"/>
        </w:rPr>
        <w:t xml:space="preserve"> 音韻誤差スコア（Phonological Error Score）。モデルが出力したパターンと正解の音韻パターンとの乖離度を反応時間の代替指標として使用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345D4DEE" w14:textId="77777777" w:rsidR="00484B5B"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PMSP (Plaut, McClelland, Seidenberg, &amp; Patterson, 1996) - Simulation 3:</w:t>
      </w:r>
    </w:p>
    <w:p w14:paraId="7A836D7D" w14:textId="77777777" w:rsidR="00484B5B"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b/>
          <w:bCs/>
          <w:color w:val="1F1F1F"/>
        </w:rPr>
        <w:t>アーキテクチャ:</w:t>
      </w:r>
      <w:r>
        <w:rPr>
          <w:rFonts w:ascii="Google Sans" w:eastAsia="Google Sans" w:hAnsi="Google Sans" w:cs="Google Sans"/>
          <w:color w:val="1F1F1F"/>
        </w:rPr>
        <w:t xml:space="preserve"> リカレント（Recurrent）ネットワーク、またはアトラクタネットワーク。</w:t>
      </w:r>
    </w:p>
    <w:p w14:paraId="1F0C3FEF" w14:textId="77777777" w:rsidR="00484B5B"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b/>
          <w:bCs/>
          <w:color w:val="1F1F1F"/>
        </w:rPr>
        <w:t>学習アルゴリズム:</w:t>
      </w:r>
      <w:r>
        <w:rPr>
          <w:rFonts w:ascii="Google Sans" w:eastAsia="Google Sans" w:hAnsi="Google Sans" w:cs="Google Sans"/>
          <w:color w:val="1F1F1F"/>
        </w:rPr>
        <w:t xml:space="preserve"> 交差エントロピー（Cross Entropy）を最小化。SM89 の欠点であった非語（Nonword）の音読性能や学習効率を改善したモデル。</w:t>
      </w:r>
    </w:p>
    <w:p w14:paraId="33FD807A" w14:textId="77777777" w:rsidR="00484B5B" w:rsidRDefault="00000000">
      <w:pPr>
        <w:numPr>
          <w:ilvl w:val="1"/>
          <w:numId w:val="4"/>
        </w:numPr>
        <w:pBdr>
          <w:top w:val="nil"/>
          <w:left w:val="nil"/>
          <w:bottom w:val="nil"/>
          <w:right w:val="nil"/>
          <w:between w:val="nil"/>
        </w:pBdr>
        <w:spacing w:after="120" w:line="275" w:lineRule="auto"/>
      </w:pPr>
      <w:r>
        <w:rPr>
          <w:rFonts w:ascii="Google Sans" w:eastAsia="Google Sans" w:hAnsi="Google Sans" w:cs="Google Sans"/>
          <w:b/>
          <w:bCs/>
          <w:color w:val="1F1F1F"/>
        </w:rPr>
        <w:t>パフォーマンス指標:</w:t>
      </w:r>
      <w:r>
        <w:rPr>
          <w:rFonts w:ascii="Google Sans" w:eastAsia="Google Sans" w:hAnsi="Google Sans" w:cs="Google Sans"/>
          <w:color w:val="1F1F1F"/>
        </w:rPr>
        <w:t xml:space="preserve"> セトリングタイム（Settling Time）。ネットワークが安定した出力状態（アトラクタ）に収束するまでにかかったサイクル数を、人間の反応時間に相当するものとして使用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1F369B31"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Spieler と Balota の問いはシンプルかつ残酷であった。「これらの最先端モデルは、人間の反応時間の分散（Variance）をどれだけ説明できるのか？」</w:t>
      </w:r>
    </w:p>
    <w:p w14:paraId="0CEC7C99"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 分析結果：計算モデルの予測能力の限界</w:t>
      </w:r>
    </w:p>
    <w:p w14:paraId="6774AC3B"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解析の結果は、コネクショニズム支持者にとって衝撃的なものであった。モデルは要因レベルでの主要効果（頻度効果や規則性効果）を再現できていたにもかかわらず、アイテムレベルでの予測能力は著しく低かったのである。</w:t>
      </w:r>
    </w:p>
    <w:p w14:paraId="02004B8C"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基準となる予測因子（Baseline Predictors）</w:t>
      </w:r>
    </w:p>
    <w:p w14:paraId="605EF3DA"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モデルの性能を評価するためのベースラインとして、著者らは伝統的な3つの心理言語学的変数を用いた回帰分析を行った。</w:t>
      </w:r>
    </w:p>
    <w:p w14:paraId="35BDE2AA" w14:textId="77777777" w:rsidR="00484B5B" w:rsidRDefault="00484B5B">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84B5B" w14:paraId="0141C0B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AD76E3" w14:textId="77777777" w:rsidR="00484B5B" w:rsidRDefault="00000000">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予測変数</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B6C838" w14:textId="77777777" w:rsidR="00484B5B" w:rsidRDefault="00000000">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単独での説明率 (R2)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2BD971" w14:textId="77777777" w:rsidR="00484B5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備考</w:t>
            </w:r>
          </w:p>
        </w:tc>
      </w:tr>
      <w:tr w:rsidR="00484B5B" w14:paraId="27CBF0A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8BA95D" w14:textId="77777777" w:rsidR="00484B5B" w:rsidRDefault="00000000">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対数単語頻度 (Log Frequency)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ED300C" w14:textId="77777777" w:rsidR="00484B5B" w:rsidRDefault="00000000">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7.3%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92ACD" w14:textId="77777777" w:rsidR="00484B5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最も強力な単一予測因子 </w:t>
            </w:r>
            <w:r>
              <w:rPr>
                <w:rFonts w:ascii="Google Sans" w:eastAsia="Google Sans" w:hAnsi="Google Sans" w:cs="Google Sans"/>
                <w:color w:val="444746"/>
                <w:sz w:val="24"/>
                <w:szCs w:val="24"/>
                <w:vertAlign w:val="superscript"/>
              </w:rPr>
              <w:t>1</w:t>
            </w:r>
          </w:p>
        </w:tc>
      </w:tr>
      <w:tr w:rsidR="00484B5B" w14:paraId="1EF325B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DB61EC" w14:textId="77777777" w:rsidR="00484B5B" w:rsidRDefault="00000000">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単語長 (Length in letters)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488A3A" w14:textId="77777777" w:rsidR="00484B5B" w:rsidRDefault="00000000">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4.5%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EBB7B2" w14:textId="77777777" w:rsidR="00484B5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文字数が多いほど遅延</w:t>
            </w:r>
          </w:p>
        </w:tc>
      </w:tr>
      <w:tr w:rsidR="00484B5B" w14:paraId="3469C73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F9E511" w14:textId="77777777" w:rsidR="00484B5B" w:rsidRDefault="00000000">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近傍密度 (Coltheart's 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D5C15A" w14:textId="77777777" w:rsidR="00484B5B" w:rsidRDefault="00000000">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2.2%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75D0E" w14:textId="77777777" w:rsidR="00484B5B"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1文字違いの単語数が多いほど促進 </w:t>
            </w:r>
            <w:r>
              <w:rPr>
                <w:rFonts w:ascii="Google Sans" w:eastAsia="Google Sans" w:hAnsi="Google Sans" w:cs="Google Sans"/>
                <w:color w:val="444746"/>
                <w:sz w:val="24"/>
                <w:szCs w:val="24"/>
                <w:vertAlign w:val="superscript"/>
              </w:rPr>
              <w:t>1</w:t>
            </w:r>
          </w:p>
        </w:tc>
      </w:tr>
      <w:tr w:rsidR="00484B5B" w14:paraId="0A421EF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0D513D" w14:textId="77777777" w:rsidR="00484B5B" w:rsidRDefault="00000000">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上記 3 変数の組み合わせ</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28872" w14:textId="77777777" w:rsidR="00484B5B" w:rsidRDefault="00000000">
            <w:pPr>
              <w:pBdr>
                <w:top w:val="nil"/>
                <w:left w:val="nil"/>
                <w:bottom w:val="nil"/>
                <w:right w:val="nil"/>
                <w:between w:val="nil"/>
              </w:pBdr>
              <w:spacing w:before="120" w:after="12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21.7%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695DD8" w14:textId="77777777" w:rsidR="00484B5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重回帰分析による合計説明</w:t>
            </w:r>
            <w:r>
              <w:rPr>
                <w:rFonts w:ascii="Google Sans" w:eastAsia="Google Sans" w:hAnsi="Google Sans" w:cs="Google Sans"/>
                <w:color w:val="1F1F1F"/>
              </w:rPr>
              <w:lastRenderedPageBreak/>
              <w:t>率</w:t>
            </w:r>
          </w:p>
        </w:tc>
      </w:tr>
    </w:tbl>
    <w:p w14:paraId="25AB5229"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この結果、単純な辞書的特性（頻度、長さ、近傍密度）だけで、人間の反応時間の分散の約22%を説明できることが示された。これは、計算モデルが超えるべき「最低ライン」となる。</w:t>
      </w:r>
    </w:p>
    <w:p w14:paraId="387BB39B"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計算モデルの惨敗</w:t>
      </w:r>
    </w:p>
    <w:p w14:paraId="7CA60A6F"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これに対し、高度な学習を経たはずの計算モデルの説明率は期待を大きく下回った。</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84B5B" w14:paraId="68C79153"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8EB4F52"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モデル (指標)</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64EAE2B"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単独での説明率 (R2)</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37C75FF"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対数頻度を統制後の追加説明率</w:t>
            </w:r>
          </w:p>
        </w:tc>
      </w:tr>
      <w:tr w:rsidR="00484B5B" w14:paraId="45C87A90"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B1F0740"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SM89 (誤差スコア)</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6603E3"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10.1%</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4AFC293"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5.2%</w:t>
            </w:r>
          </w:p>
        </w:tc>
      </w:tr>
      <w:tr w:rsidR="00484B5B" w14:paraId="58388D7C"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12C386"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PMSP (セトリングタイム)</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5E3C405"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3.3%</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DE3D393"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1.6%</w:t>
            </w:r>
          </w:p>
        </w:tc>
      </w:tr>
    </w:tbl>
    <w:p w14:paraId="0C98BB39" w14:textId="77777777" w:rsidR="00484B5B" w:rsidRDefault="00000000">
      <w:pPr>
        <w:pBdr>
          <w:top w:val="nil"/>
          <w:left w:val="nil"/>
          <w:bottom w:val="nil"/>
          <w:right w:val="nil"/>
          <w:between w:val="nil"/>
        </w:pBdr>
        <w:spacing w:before="480" w:after="240" w:line="275" w:lineRule="auto"/>
        <w:rPr>
          <w:rFonts w:ascii="Google Sans" w:eastAsia="Google Sans" w:hAnsi="Google Sans" w:cs="Google Sans"/>
          <w:color w:val="1F1F1F"/>
        </w:rPr>
      </w:pPr>
      <w:r>
        <w:rPr>
          <w:rFonts w:ascii="Google Sans" w:eastAsia="Google Sans" w:hAnsi="Google Sans" w:cs="Google Sans"/>
          <w:color w:val="1F1F1F"/>
        </w:rPr>
        <w:t xml:space="preserve">出典: Spieler &amp; Balota (1997), Table 3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より作成</w:t>
      </w:r>
    </w:p>
    <w:p w14:paraId="5A531FC5"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特に衝撃的だったのは、SM89の改良版であるはずのPMSPモデルの不振である。PMSPは単独でわずか3.3%の分散しか説明できず、単純な対数頻度（7.3%）の半分以下の予測力しかなかった。対数頻度の影響を取り除いた後の追加説明率に至っては 1.6% に過ぎず、モデルが頻度情報以外に捉えている「構造的知識」が極めて限定的であることが露呈した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41F6ACE5"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一方、旧型の SM89 モデルは 10.1% と相対的に健闘した。この逆転現象（新型モデルの予測力低下）は、モデル内部のダイナミクスと人間の認知過程の乖離を示唆している。SM89 の「誤差スコア」は出力の質（ターゲットとの距離）を反映しているのに対し、PMSP の「セトリングタイム」は安定状態に達するまでの時間のみを反映しており、最終的な出力の質（不完全でも安定していれば速いとされる）を無視している点が、人間データとの不一致を生んだ可能性が指摘された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2F53AF59"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 頻度情報の圧縮（Frequency Compression）</w:t>
      </w:r>
    </w:p>
    <w:p w14:paraId="387AC139"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PMSPモデルが人間のパフォーマンス、特に単語頻度の影響を捉えきれなかった原因として、SpielerとBalotaは「頻度の圧縮」を挙げている。学習において、モデルはすべての単語（超</w:t>
      </w:r>
      <w:r>
        <w:rPr>
          <w:rFonts w:ascii="Google Sans" w:eastAsia="Google Sans" w:hAnsi="Google Sans" w:cs="Google Sans"/>
          <w:color w:val="1F1F1F"/>
        </w:rPr>
        <w:lastRenderedPageBreak/>
        <w:t xml:space="preserve">低頻度の例外語含む）を正しく出力できるよう訓練される。そのため、低頻度語に対して過剰な学習が行われ、結果として高頻度語と低頻度語の間の処理差が人工的に縮小（圧縮）されてしまったと考えられる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。人間の場合、超低頻度語に対しては必ずしも完璧なパフォーマンスを示さないため、モデルの「完璧主義」が逆に人間らしさを損なう結果となったのである。</w:t>
      </w:r>
    </w:p>
    <w:p w14:paraId="58538404"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4. 音声生成の物理的制約：オンセット音素の影響</w:t>
      </w:r>
    </w:p>
    <w:p w14:paraId="16FC8544"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命名課題（Naming Task）における反応時間は、純粋な認知処理（語彙アクセス）だけでなく、発声の物理的メカニズムや音声キー（Voice Key）の感度にも依存する。SpielerとBalotaは、モデルが説明できない分散の一部がこの「アーティキュレーション（構音）」の段階にあることを考慮し、極めて詳細な音素分析を行った。</w:t>
      </w:r>
    </w:p>
    <w:p w14:paraId="7091462F"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音素特徴による分散説明</w:t>
      </w:r>
    </w:p>
    <w:p w14:paraId="103E7A07"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彼らは各単語の語頭音（Onset Phoneme）を、調音点（Place）、調音法（Manner）、有声性（Voicing）に基づいてダミー変数化し、これらが反応時間に与える影響を分析した。</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484B5B" w14:paraId="1823D42C"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7DC293F"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音素特徴のカテゴリ</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4273365"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具体的な特徴例</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EEB9DE8"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反応時間への影響</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0159C8E"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統計的有意性 (t)</w:t>
            </w:r>
          </w:p>
        </w:tc>
      </w:tr>
      <w:tr w:rsidR="00484B5B" w14:paraId="4266B47F"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18F54A2"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 xml:space="preserve">調音法 </w:t>
            </w:r>
            <w:r>
              <w:rPr>
                <w:rFonts w:ascii="Google Sans" w:eastAsia="Google Sans" w:hAnsi="Google Sans" w:cs="Google Sans"/>
                <w:color w:val="1F1F1F"/>
              </w:rPr>
              <w:t>Manner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2AE8A9D"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破擦音 (Affricative)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D0898FA"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高速化</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DE196E6" w14:textId="77777777" w:rsidR="00484B5B" w:rsidRDefault="00000000">
            <w:pPr>
              <w:pBdr>
                <w:top w:val="nil"/>
                <w:left w:val="nil"/>
                <w:bottom w:val="nil"/>
                <w:right w:val="nil"/>
                <w:between w:val="nil"/>
              </w:pBdr>
              <w:spacing w:line="276" w:lineRule="auto"/>
              <w:jc w:val="center"/>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DEDCF22" wp14:editId="2730572B">
                  <wp:extent cx="783878" cy="229428"/>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783878" cy="229428"/>
                          </a:xfrm>
                          <a:prstGeom prst="rect">
                            <a:avLst/>
                          </a:prstGeom>
                          <a:ln/>
                        </pic:spPr>
                      </pic:pic>
                    </a:graphicData>
                  </a:graphic>
                </wp:inline>
              </w:drawing>
            </w:r>
          </w:p>
        </w:tc>
      </w:tr>
      <w:tr w:rsidR="00484B5B" w14:paraId="6B192DF7"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92735CA"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 xml:space="preserve">調音法 </w:t>
            </w:r>
            <w:r>
              <w:rPr>
                <w:rFonts w:ascii="Google Sans" w:eastAsia="Google Sans" w:hAnsi="Google Sans" w:cs="Google Sans"/>
                <w:color w:val="1F1F1F"/>
              </w:rPr>
              <w:t>Manner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047756D"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摩擦音 (Fricative)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70B7C9"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高速化</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F473DC2" w14:textId="77777777" w:rsidR="00484B5B" w:rsidRDefault="00000000">
            <w:pPr>
              <w:pBdr>
                <w:top w:val="nil"/>
                <w:left w:val="nil"/>
                <w:bottom w:val="nil"/>
                <w:right w:val="nil"/>
                <w:between w:val="nil"/>
              </w:pBdr>
              <w:spacing w:line="276" w:lineRule="auto"/>
              <w:jc w:val="center"/>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48CE437" wp14:editId="2C1BD26C">
                  <wp:extent cx="783878" cy="229428"/>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783878" cy="229428"/>
                          </a:xfrm>
                          <a:prstGeom prst="rect">
                            <a:avLst/>
                          </a:prstGeom>
                          <a:ln/>
                        </pic:spPr>
                      </pic:pic>
                    </a:graphicData>
                  </a:graphic>
                </wp:inline>
              </w:drawing>
            </w:r>
          </w:p>
        </w:tc>
      </w:tr>
      <w:tr w:rsidR="00484B5B" w14:paraId="08C40852"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0055717"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 xml:space="preserve">調音法 </w:t>
            </w:r>
            <w:r>
              <w:rPr>
                <w:rFonts w:ascii="Google Sans" w:eastAsia="Google Sans" w:hAnsi="Google Sans" w:cs="Google Sans"/>
                <w:color w:val="1F1F1F"/>
              </w:rPr>
              <w:t>Manner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EAD8A9"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閉鎖音 (Stop)</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78693EC"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高速化</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0E5BE59" w14:textId="77777777" w:rsidR="00484B5B" w:rsidRDefault="00000000">
            <w:pPr>
              <w:pBdr>
                <w:top w:val="nil"/>
                <w:left w:val="nil"/>
                <w:bottom w:val="nil"/>
                <w:right w:val="nil"/>
                <w:between w:val="nil"/>
              </w:pBdr>
              <w:spacing w:line="276" w:lineRule="auto"/>
              <w:jc w:val="center"/>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426434CD" wp14:editId="194A85D3">
                  <wp:extent cx="783878" cy="22942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83878" cy="229428"/>
                          </a:xfrm>
                          <a:prstGeom prst="rect">
                            <a:avLst/>
                          </a:prstGeom>
                          <a:ln/>
                        </pic:spPr>
                      </pic:pic>
                    </a:graphicData>
                  </a:graphic>
                </wp:inline>
              </w:drawing>
            </w:r>
          </w:p>
        </w:tc>
      </w:tr>
      <w:tr w:rsidR="00484B5B" w14:paraId="6D9FC511"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37FD6CE"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 xml:space="preserve">調音点 </w:t>
            </w:r>
            <w:r>
              <w:rPr>
                <w:rFonts w:ascii="Google Sans" w:eastAsia="Google Sans" w:hAnsi="Google Sans" w:cs="Google Sans"/>
                <w:color w:val="1F1F1F"/>
              </w:rPr>
              <w:t>Place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A6077D6"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両唇音 (Bilabial)</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1E22A8E"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遅延</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C874CF1" w14:textId="77777777" w:rsidR="00484B5B" w:rsidRDefault="00000000">
            <w:pPr>
              <w:pBdr>
                <w:top w:val="nil"/>
                <w:left w:val="nil"/>
                <w:bottom w:val="nil"/>
                <w:right w:val="nil"/>
                <w:between w:val="nil"/>
              </w:pBdr>
              <w:spacing w:line="276" w:lineRule="auto"/>
              <w:jc w:val="center"/>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AFCB1F6" wp14:editId="2B44210E">
                  <wp:extent cx="640408" cy="2294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640408" cy="229400"/>
                          </a:xfrm>
                          <a:prstGeom prst="rect">
                            <a:avLst/>
                          </a:prstGeom>
                          <a:ln/>
                        </pic:spPr>
                      </pic:pic>
                    </a:graphicData>
                  </a:graphic>
                </wp:inline>
              </w:drawing>
            </w:r>
          </w:p>
        </w:tc>
      </w:tr>
      <w:tr w:rsidR="00484B5B" w14:paraId="20706FC2"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557FF42"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lastRenderedPageBreak/>
              <w:t xml:space="preserve">調音点 </w:t>
            </w:r>
            <w:r>
              <w:rPr>
                <w:rFonts w:ascii="Google Sans" w:eastAsia="Google Sans" w:hAnsi="Google Sans" w:cs="Google Sans"/>
                <w:color w:val="1F1F1F"/>
              </w:rPr>
              <w:t>Place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BE857FA"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軟口蓋音 (Velar)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B83D2DB"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遅延</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B3D0EDF" w14:textId="77777777" w:rsidR="00484B5B" w:rsidRDefault="00000000">
            <w:pPr>
              <w:pBdr>
                <w:top w:val="nil"/>
                <w:left w:val="nil"/>
                <w:bottom w:val="nil"/>
                <w:right w:val="nil"/>
                <w:between w:val="nil"/>
              </w:pBdr>
              <w:spacing w:line="276" w:lineRule="auto"/>
              <w:jc w:val="center"/>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FB4E522" wp14:editId="09C73B65">
                  <wp:extent cx="640408" cy="2294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640408" cy="229400"/>
                          </a:xfrm>
                          <a:prstGeom prst="rect">
                            <a:avLst/>
                          </a:prstGeom>
                          <a:ln/>
                        </pic:spPr>
                      </pic:pic>
                    </a:graphicData>
                  </a:graphic>
                </wp:inline>
              </w:drawing>
            </w:r>
          </w:p>
        </w:tc>
      </w:tr>
      <w:tr w:rsidR="00484B5B" w14:paraId="69B9F3AA"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47C2ACA"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有声性</w:t>
            </w:r>
            <w:r>
              <w:rPr>
                <w:rFonts w:ascii="Google Sans" w:eastAsia="Google Sans" w:hAnsi="Google Sans" w:cs="Google Sans"/>
                <w:color w:val="1F1F1F"/>
              </w:rPr>
              <w:t xml:space="preserve"> Voicing</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A823B88"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有声音 (Voiced)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32BA6D"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遅延</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226E8B3" w14:textId="77777777" w:rsidR="00484B5B" w:rsidRDefault="00000000">
            <w:pPr>
              <w:pBdr>
                <w:top w:val="nil"/>
                <w:left w:val="nil"/>
                <w:bottom w:val="nil"/>
                <w:right w:val="nil"/>
                <w:between w:val="nil"/>
              </w:pBdr>
              <w:spacing w:line="276" w:lineRule="auto"/>
              <w:jc w:val="center"/>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B3E56B3" wp14:editId="6190F607">
                  <wp:extent cx="640408" cy="229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640408" cy="229400"/>
                          </a:xfrm>
                          <a:prstGeom prst="rect">
                            <a:avLst/>
                          </a:prstGeom>
                          <a:ln/>
                        </pic:spPr>
                      </pic:pic>
                    </a:graphicData>
                  </a:graphic>
                </wp:inline>
              </w:drawing>
            </w:r>
          </w:p>
        </w:tc>
      </w:tr>
    </w:tbl>
    <w:p w14:paraId="1DC5BC64" w14:textId="77777777" w:rsidR="00484B5B" w:rsidRDefault="00000000">
      <w:pPr>
        <w:pBdr>
          <w:top w:val="nil"/>
          <w:left w:val="nil"/>
          <w:bottom w:val="nil"/>
          <w:right w:val="nil"/>
          <w:between w:val="nil"/>
        </w:pBdr>
        <w:spacing w:before="480" w:after="240" w:line="275" w:lineRule="auto"/>
        <w:rPr>
          <w:rFonts w:ascii="Google Sans" w:eastAsia="Google Sans" w:hAnsi="Google Sans" w:cs="Google Sans"/>
          <w:color w:val="1F1F1F"/>
        </w:rPr>
      </w:pPr>
      <w:r>
        <w:rPr>
          <w:rFonts w:ascii="Google Sans" w:eastAsia="Google Sans" w:hAnsi="Google Sans" w:cs="Google Sans"/>
          <w:color w:val="1F1F1F"/>
        </w:rPr>
        <w:t xml:space="preserve">出典: Spieler &amp; Balota (1997), Table 4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より</w:t>
      </w:r>
    </w:p>
    <w:p w14:paraId="45D916EE"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この分析により、語頭の音素特徴だけで全分散の </w:t>
      </w:r>
      <w:r>
        <w:rPr>
          <w:rFonts w:ascii="Google Sans" w:eastAsia="Google Sans" w:hAnsi="Google Sans" w:cs="Google Sans"/>
          <w:b/>
          <w:bCs/>
          <w:color w:val="1F1F1F"/>
        </w:rPr>
        <w:t>29.9%</w:t>
      </w:r>
      <w:r>
        <w:rPr>
          <w:rFonts w:ascii="Google Sans" w:eastAsia="Google Sans" w:hAnsi="Google Sans" w:cs="Google Sans"/>
          <w:color w:val="1F1F1F"/>
        </w:rPr>
        <w:t xml:space="preserve"> もが説明されることが判明した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。これは、例えば「/k/（cat）」と「/s/（sat）」では、マイクが音声を検知してタイマーを止めるまでの物理的な時間に無視できない差があることを意味する。</w:t>
      </w:r>
    </w:p>
    <w:p w14:paraId="345170B1"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4.2 認知的な残差分散（Residual Cognitive Variance）</w:t>
      </w:r>
    </w:p>
    <w:p w14:paraId="335D140A"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重要なのは、この約30%のアーティキュレーション要因を統計的に除去した後でも、なおモデルの予測力不足が解消されなかった点である。音素特徴の影響を排除した後の「残差分散」に対し、標準的な3変数（頻度・長さ・近傍密度）はさらに </w:t>
      </w:r>
      <w:r>
        <w:rPr>
          <w:rFonts w:ascii="Google Sans" w:eastAsia="Google Sans" w:hAnsi="Google Sans" w:cs="Google Sans"/>
          <w:b/>
          <w:bCs/>
          <w:color w:val="1F1F1F"/>
        </w:rPr>
        <w:t>13.3%</w:t>
      </w:r>
      <w:r>
        <w:rPr>
          <w:rFonts w:ascii="Google Sans" w:eastAsia="Google Sans" w:hAnsi="Google Sans" w:cs="Google Sans"/>
          <w:color w:val="1F1F1F"/>
        </w:rPr>
        <w:t xml:space="preserve"> の分散を説明した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14D68007"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つまり、モデルが失敗したのは「音声キーの特性をシミュレートしていなかったから」だけではない。純粋に認知的なレベル（字形から音韻への変換プロセス）においても、標準的な回帰モデルよりも人間のデータを予測できていなかったのである。これにより、「モデルは認知プロセスを正しく模倣しているが、末梢的な運動出力系を実装していないだけだ」という擁護論は説得力を失った。</w:t>
      </w:r>
    </w:p>
    <w:p w14:paraId="03FA4F75"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5. 1998年の論争：粒度（Grain Size）とノイズの定義</w:t>
      </w:r>
    </w:p>
    <w:p w14:paraId="34C6F6D9"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Spieler and Balota (1997) の発表は、計算論的モデリングコミュニティに激震を走らせた。これに対し、SeidenbergとPlautは翌1998年に『Evaluating word reading models at the item level: Matching the grain of theory and data』と題する反論を発表し、激しい論争が繰り広げられた。</w:t>
      </w:r>
    </w:p>
    <w:p w14:paraId="4FF8B747"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Seidenberg &amp; Plaut (1998) の反論</w:t>
      </w:r>
    </w:p>
    <w:p w14:paraId="139BED79" w14:textId="77777777" w:rsidR="00484B5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SeidenbergとPlautは、SpielerとBalotaのアプローチには「適切な粒度（Grain Size）」の視点が欠けていると主張した </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14:paraId="5FF1E3CB" w14:textId="77777777" w:rsidR="00484B5B"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ノイズの不可避性:</w:t>
      </w:r>
      <w:r>
        <w:rPr>
          <w:rFonts w:ascii="Google Sans" w:eastAsia="Google Sans" w:hAnsi="Google Sans" w:cs="Google Sans"/>
          <w:color w:val="1F1F1F"/>
        </w:rPr>
        <w:t xml:space="preserve"> アイテムごとの平均反応時間には、被験者間のランダムな変動や測定誤差（ノイズ）が多く含まれている。モデルがこのノイズまで学習・再現しようとするこ</w:t>
      </w:r>
      <w:r>
        <w:rPr>
          <w:rFonts w:ascii="Google Sans" w:eastAsia="Google Sans" w:hAnsi="Google Sans" w:cs="Google Sans"/>
          <w:color w:val="1F1F1F"/>
        </w:rPr>
        <w:lastRenderedPageBreak/>
        <w:t>とは「過学習（Overfitting）」であり、理論的に正しくない。</w:t>
      </w:r>
    </w:p>
    <w:p w14:paraId="5DBCBC5C" w14:textId="77777777" w:rsidR="00484B5B"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理論の抽象度:</w:t>
      </w:r>
      <w:r>
        <w:rPr>
          <w:rFonts w:ascii="Google Sans" w:eastAsia="Google Sans" w:hAnsi="Google Sans" w:cs="Google Sans"/>
          <w:color w:val="1F1F1F"/>
        </w:rPr>
        <w:t xml:space="preserve"> PDPモデルは、読みの「一般原理（General Principles）」や「主要な要因効果」を説明するために構築されたものであり、個別の単語の特異的な振る舞い（Idiosyncrasies）をミクロに再現することを主目的としていない。</w:t>
      </w:r>
    </w:p>
    <w:p w14:paraId="2C92F88E" w14:textId="77777777" w:rsidR="00484B5B"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範囲外の要因:</w:t>
      </w:r>
      <w:r>
        <w:rPr>
          <w:rFonts w:ascii="Google Sans" w:eastAsia="Google Sans" w:hAnsi="Google Sans" w:cs="Google Sans"/>
          <w:color w:val="1F1F1F"/>
        </w:rPr>
        <w:t xml:space="preserve"> 反応時間には視覚的な文字認識や運動出力の計画時間が含まれるが、モデルは「字形→音韻」の変換のみを扱っている。したがって、全分散に対する説明率が低いのは当然である。</w:t>
      </w:r>
    </w:p>
    <w:p w14:paraId="1D561EFA" w14:textId="77777777" w:rsidR="00484B5B"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5.2 Balota &amp; Spieler (1998) の再反論</w:t>
      </w:r>
    </w:p>
    <w:p w14:paraId="0BEF29ED" w14:textId="77777777" w:rsidR="00484B5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これに対し、BalotaとSpieler (1998) は『The Utility of Item-Level Analyses in Model Evaluation』において即座に応答した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7128190D" w14:textId="77777777" w:rsidR="00484B5B"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ベースラインの存在:</w:t>
      </w:r>
      <w:r>
        <w:rPr>
          <w:rFonts w:ascii="Google Sans" w:eastAsia="Google Sans" w:hAnsi="Google Sans" w:cs="Google Sans"/>
          <w:color w:val="1F1F1F"/>
        </w:rPr>
        <w:t xml:space="preserve"> ノイズが多いという主張は認めるとしても、なぜ単純な「文字数」や「頻度」といった変数が、複雑なニューラルネットワークよりもはるかに高い予測精度を持つのか？ もしデータが単なるノイズであれば、回帰分析でも有意な結果は出ないはずである。</w:t>
      </w:r>
    </w:p>
    <w:p w14:paraId="2A55EB27" w14:textId="77777777" w:rsidR="00484B5B"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連続性の無視:</w:t>
      </w:r>
      <w:r>
        <w:rPr>
          <w:rFonts w:ascii="Google Sans" w:eastAsia="Google Sans" w:hAnsi="Google Sans" w:cs="Google Sans"/>
          <w:color w:val="1F1F1F"/>
        </w:rPr>
        <w:t xml:space="preserve"> 「一般原理」のみを対象とするという姿勢は、行動データの連続性を無視することにつながる。アイテムレベルの解析こそが、モデルが本当にそのメカニズム（例：相互作用活性化）で動いているかを検証する唯一の方法である。</w:t>
      </w:r>
    </w:p>
    <w:p w14:paraId="3D2B1282"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この論争は、モデルの評価において「定性的なパターンの合致」で十分とするか、「定量的な数値の予測」を求めるかという、科学哲学的な対立を浮き彫りにした。</w:t>
      </w:r>
    </w:p>
    <w:p w14:paraId="3871C8D0"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6. 論争の決着と再現可能な分散の定量化</w:t>
      </w:r>
    </w:p>
    <w:p w14:paraId="0031A743"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この「ノイズか、欠陥か」という論争に最終的な決着をもたらしたのは、それから10年以上後のRey et al. (2013) による研究であった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w:t>
      </w:r>
    </w:p>
    <w:p w14:paraId="0BEA64B3"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再現可能な分散（Reproducible Variance）の推定</w:t>
      </w:r>
    </w:p>
    <w:p w14:paraId="3A25D2B6"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Reyらは、新しい大規模な命名データベースを構築し、Spieler &amp; Balotaのデータセットと比較することで、「説明可能な分散（Systematic Variance）」と「ノイズ」を数学的に分離した。彼らの分析によれば、命名課題における分散の約 </w:t>
      </w:r>
      <w:r>
        <w:rPr>
          <w:rFonts w:ascii="Google Sans" w:eastAsia="Google Sans" w:hAnsi="Google Sans" w:cs="Google Sans"/>
          <w:b/>
          <w:bCs/>
          <w:color w:val="1F1F1F"/>
        </w:rPr>
        <w:t>80%</w:t>
      </w:r>
      <w:r>
        <w:rPr>
          <w:rFonts w:ascii="Google Sans" w:eastAsia="Google Sans" w:hAnsi="Google Sans" w:cs="Google Sans"/>
          <w:color w:val="1F1F1F"/>
        </w:rPr>
        <w:t xml:space="preserve"> は再現可能（つまりノイズではない）であった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w:t>
      </w:r>
    </w:p>
    <w:p w14:paraId="5811745C"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これは、Seidenbergらの「データはノイズだらけである」という主張を部分的に退けると同時に、Spieler &amp; Balotaが示した「モデルの説明率（数パーセント）」がいかに低いかを際立たせる結果となった。人間同士のデータ相関が0.8以上あるのに対し、モデルと人間の相関が0.3以下であるという事実は、モデルに根本的な欠落があることを決定づけた。</w:t>
      </w:r>
    </w:p>
    <w:p w14:paraId="30A9DFB0"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6.2 遅延命名課題によるアーティキュレーションの分離</w:t>
      </w:r>
    </w:p>
    <w:p w14:paraId="7FF73CD9"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Reyらはさらに、遅延命名（単語を見てから数秒後に発音する）のデータを予測因子として用いたところ、即時命名の分散の大部分を説明できることを示した </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これは、命名潜時の変動の多くが確かにアーティキュレーションの準備や実行に関わっていることを示唆している。しかし、それでもなお残る分散（語彙処理部分）において、当時のモデルは十分な予測力を発揮できていなかった。</w:t>
      </w:r>
    </w:p>
    <w:p w14:paraId="4AE64FD6"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7. 学術的遺産：メガスタディ時代の到来</w:t>
      </w:r>
    </w:p>
    <w:p w14:paraId="00919A17"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Spieler and Balota (1997) の最も永続的な貢献は、特定の仮説検証のために少数の単語を選ぶ「実験的アプローチ」から、数千〜数万語のデータを網羅的に収集・解析する「メガスタディ（Megastudy）」へのパラダイムシフトを主導した点にある </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6CD1138F"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7.1 English Lexicon Project (ELP) への発展</w:t>
      </w:r>
    </w:p>
    <w:p w14:paraId="2BE83F6D" w14:textId="77777777" w:rsidR="00484B5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この1997年の研究手法は、後にBalotaらが中心となって推進した </w:t>
      </w:r>
      <w:r>
        <w:rPr>
          <w:rFonts w:ascii="Google Sans" w:eastAsia="Google Sans" w:hAnsi="Google Sans" w:cs="Google Sans"/>
          <w:b/>
          <w:bCs/>
          <w:color w:val="1F1F1F"/>
        </w:rPr>
        <w:t>English Lexicon Project (ELP)</w:t>
      </w:r>
      <w:r>
        <w:rPr>
          <w:rFonts w:ascii="Google Sans" w:eastAsia="Google Sans" w:hAnsi="Google Sans" w:cs="Google Sans"/>
          <w:color w:val="1F1F1F"/>
        </w:rPr>
        <w:t xml:space="preserve"> へと直接的に発展した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07D5FBD0" w14:textId="77777777" w:rsidR="00484B5B"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規模の拡大:</w:t>
      </w:r>
      <w:r>
        <w:rPr>
          <w:rFonts w:ascii="Google Sans" w:eastAsia="Google Sans" w:hAnsi="Google Sans" w:cs="Google Sans"/>
          <w:color w:val="1F1F1F"/>
        </w:rPr>
        <w:t xml:space="preserve"> 2,870語から、40,481語および同数の非語へ。</w:t>
      </w:r>
    </w:p>
    <w:p w14:paraId="372A0B6B" w14:textId="77777777" w:rsidR="00484B5B"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多施設共同:</w:t>
      </w:r>
      <w:r>
        <w:rPr>
          <w:rFonts w:ascii="Google Sans" w:eastAsia="Google Sans" w:hAnsi="Google Sans" w:cs="Google Sans"/>
          <w:color w:val="1F1F1F"/>
        </w:rPr>
        <w:t xml:space="preserve"> 6つの大学、800名以上の参加者。</w:t>
      </w:r>
    </w:p>
    <w:p w14:paraId="6304CBD4" w14:textId="77777777" w:rsidR="00484B5B"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多変量解析の標準化:</w:t>
      </w:r>
      <w:r>
        <w:rPr>
          <w:rFonts w:ascii="Google Sans" w:eastAsia="Google Sans" w:hAnsi="Google Sans" w:cs="Google Sans"/>
          <w:color w:val="1F1F1F"/>
        </w:rPr>
        <w:t xml:space="preserve"> ELPの公開により、研究者はもはや自分で実験を行わずとも、オンラインデータベースから必要な変数をダウンロードし、仮想的な実験（Virtual Experiments）を行えるようになった </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w:t>
      </w:r>
    </w:p>
    <w:p w14:paraId="4A0C7A8D"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このELPは、現在でも言語心理学における最も引用されるリソースの一つであり、その設計思想の根幹には「アイテムレベルの変動こそが情報の宝庫である」というSpieler &amp; Balota (1997) の信念がある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5BC65AB2"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7.2 世界規模での展開</w:t>
      </w:r>
    </w:p>
    <w:p w14:paraId="639258F2" w14:textId="77777777" w:rsidR="00484B5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この流れは英語圏にとどまらず、世界各国の言語プロジェクトへと波及した。</w:t>
      </w:r>
    </w:p>
    <w:p w14:paraId="006B268B" w14:textId="77777777" w:rsidR="00484B5B"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British Lexicon Project (BLP):</w:t>
      </w:r>
      <w:r>
        <w:rPr>
          <w:rFonts w:ascii="Google Sans" w:eastAsia="Google Sans" w:hAnsi="Google Sans" w:cs="Google Sans"/>
          <w:color w:val="1F1F1F"/>
        </w:rPr>
        <w:t xml:space="preserve"> Keuleers et al. (2012) </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p w14:paraId="29B241D1" w14:textId="77777777" w:rsidR="00484B5B"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French Lexicon Project (FLP):</w:t>
      </w:r>
      <w:r>
        <w:rPr>
          <w:rFonts w:ascii="Google Sans" w:eastAsia="Google Sans" w:hAnsi="Google Sans" w:cs="Google Sans"/>
          <w:color w:val="1F1F1F"/>
        </w:rPr>
        <w:t xml:space="preserve"> Ferrand et al. (2010) </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w:t>
      </w:r>
    </w:p>
    <w:p w14:paraId="3693C5EB" w14:textId="77777777" w:rsidR="00484B5B"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Dutch Lexicon Project (DLP):</w:t>
      </w:r>
      <w:r>
        <w:rPr>
          <w:rFonts w:ascii="Google Sans" w:eastAsia="Google Sans" w:hAnsi="Google Sans" w:cs="Google Sans"/>
          <w:color w:val="1F1F1F"/>
        </w:rPr>
        <w:t xml:space="preserve"> Keuleers et al. (2010) </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w:t>
      </w:r>
    </w:p>
    <w:p w14:paraId="5E1CA94A" w14:textId="77777777" w:rsidR="00484B5B"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Chinese Lexicon Project:</w:t>
      </w:r>
      <w:r>
        <w:rPr>
          <w:rFonts w:ascii="Google Sans" w:eastAsia="Google Sans" w:hAnsi="Google Sans" w:cs="Google Sans"/>
          <w:color w:val="1F1F1F"/>
        </w:rPr>
        <w:t xml:space="preserve"> 漢字の特性を考慮した同様の大規模調査。</w:t>
      </w:r>
    </w:p>
    <w:p w14:paraId="0C97671C"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これらのプロジェクトはいずれも、モデルの評価基準として「アイテムレベルの分散説明率」を採用しており、S&amp;B 1997が確立した基準がグローバルスタンダードとなったことを示している </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w:t>
      </w:r>
    </w:p>
    <w:p w14:paraId="275B4DE1"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8. モデルの進化：ハイブリッドアプローチと新たな挑戦</w:t>
      </w:r>
    </w:p>
    <w:p w14:paraId="74C766C2"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Spieler &amp; Balotaの批判を受け、その後の10年間で計算モデルは劇的な進化を遂げた。純粋なPDPモデルの限界を克服するため、多くの研究者がハイブリッドなアーキテクチャや新しい学習理論を模索した。</w:t>
      </w:r>
    </w:p>
    <w:p w14:paraId="20BE1F42"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8.1 二重経路カスケードモデル (DRC)</w:t>
      </w:r>
    </w:p>
    <w:p w14:paraId="38C1E757"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Coltheart et al. (2001) は、PDPへの対抗馬として </w:t>
      </w:r>
      <w:r>
        <w:rPr>
          <w:rFonts w:ascii="Google Sans" w:eastAsia="Google Sans" w:hAnsi="Google Sans" w:cs="Google Sans"/>
          <w:b/>
          <w:bCs/>
          <w:color w:val="1F1F1F"/>
        </w:rPr>
        <w:t>Dual-Route Cascaded (DRC)</w:t>
      </w:r>
      <w:r>
        <w:rPr>
          <w:rFonts w:ascii="Google Sans" w:eastAsia="Google Sans" w:hAnsi="Google Sans" w:cs="Google Sans"/>
          <w:color w:val="1F1F1F"/>
        </w:rPr>
        <w:t xml:space="preserve"> モデルを提案した。これは辞書的経路（Lexical Route）と規則的経路（GPC Route）を明示的にプログラムしたモデルである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しかし、S&amp;B 1997のデータセットを用いて評価を行ったところ、DRCの説明率は約 </w:t>
      </w:r>
      <w:r>
        <w:rPr>
          <w:rFonts w:ascii="Google Sans" w:eastAsia="Google Sans" w:hAnsi="Google Sans" w:cs="Google Sans"/>
          <w:b/>
          <w:bCs/>
          <w:color w:val="1F1F1F"/>
        </w:rPr>
        <w:t>3.5%</w:t>
      </w:r>
      <w:r>
        <w:rPr>
          <w:rFonts w:ascii="Google Sans" w:eastAsia="Google Sans" w:hAnsi="Google Sans" w:cs="Google Sans"/>
          <w:color w:val="1F1F1F"/>
        </w:rPr>
        <w:t xml:space="preserve"> にとどまり、PMSPと大差ない結果となった </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。これは、単に「辞書」を追加するだけでは、人間の微妙な反応時間の変動を捉えるには不十分であることを示した。</w:t>
      </w:r>
    </w:p>
    <w:p w14:paraId="01D4CF93"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8.2 コネクショニスト二重過程モデル (CDP+)</w:t>
      </w:r>
    </w:p>
    <w:p w14:paraId="5C2BDB25" w14:textId="77777777" w:rsidR="00484B5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PDPの学習能力とDRCの構造的利点を融合させたのが、Perry, Ziegler, and Zorzi (2007) による </w:t>
      </w:r>
      <w:r>
        <w:rPr>
          <w:rFonts w:ascii="Google Sans" w:eastAsia="Google Sans" w:hAnsi="Google Sans" w:cs="Google Sans"/>
          <w:b/>
          <w:bCs/>
          <w:color w:val="1F1F1F"/>
        </w:rPr>
        <w:t>Connectionist Dual Process (CDP+)</w:t>
      </w:r>
      <w:r>
        <w:rPr>
          <w:rFonts w:ascii="Google Sans" w:eastAsia="Google Sans" w:hAnsi="Google Sans" w:cs="Google Sans"/>
          <w:color w:val="1F1F1F"/>
        </w:rPr>
        <w:t xml:space="preserve"> モデルである。</w:t>
      </w:r>
    </w:p>
    <w:p w14:paraId="198302BF" w14:textId="77777777" w:rsidR="00484B5B"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改良点:</w:t>
      </w:r>
      <w:r>
        <w:rPr>
          <w:rFonts w:ascii="Google Sans" w:eastAsia="Google Sans" w:hAnsi="Google Sans" w:cs="Google Sans"/>
          <w:color w:val="1F1F1F"/>
        </w:rPr>
        <w:t xml:space="preserve"> 書記素（Grapheme）解析の精度向上と、学習可能な非語彙経路の実装。</w:t>
      </w:r>
    </w:p>
    <w:p w14:paraId="520D1DDF" w14:textId="77777777" w:rsidR="00484B5B"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S&amp;Bデータでの性能:</w:t>
      </w:r>
      <w:r>
        <w:rPr>
          <w:rFonts w:ascii="Google Sans" w:eastAsia="Google Sans" w:hAnsi="Google Sans" w:cs="Google Sans"/>
          <w:color w:val="1F1F1F"/>
        </w:rPr>
        <w:t xml:space="preserve"> CDP+は、S&amp;B 1997データセットにおいて約 </w:t>
      </w:r>
      <w:r>
        <w:rPr>
          <w:rFonts w:ascii="Google Sans" w:eastAsia="Google Sans" w:hAnsi="Google Sans" w:cs="Google Sans"/>
          <w:b/>
          <w:bCs/>
          <w:color w:val="1F1F1F"/>
        </w:rPr>
        <w:t>7-10%</w:t>
      </w:r>
      <w:r>
        <w:rPr>
          <w:rFonts w:ascii="Google Sans" w:eastAsia="Google Sans" w:hAnsi="Google Sans" w:cs="Google Sans"/>
          <w:color w:val="1F1F1F"/>
        </w:rPr>
        <w:t xml:space="preserve"> の分散を説明することに成功した </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。これは依然として人間同士の相関には及ばないものの、PMSPやDRCの2倍以上の性能であり、S&amp;Bの批判に応答した最初の成功例と見なされている。</w:t>
      </w:r>
    </w:p>
    <w:p w14:paraId="5C3FCE99" w14:textId="77777777" w:rsidR="00484B5B"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8.3 Naive Discriminative Reader (NDRA)</w:t>
      </w:r>
    </w:p>
    <w:p w14:paraId="16E5B494" w14:textId="77777777" w:rsidR="00484B5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さらに近年では、Baayenらによる </w:t>
      </w:r>
      <w:r>
        <w:rPr>
          <w:rFonts w:ascii="Google Sans" w:eastAsia="Google Sans" w:hAnsi="Google Sans" w:cs="Google Sans"/>
          <w:b/>
          <w:bCs/>
          <w:color w:val="1F1F1F"/>
        </w:rPr>
        <w:t>Naive Discriminative Reader (NDRA)</w:t>
      </w:r>
      <w:r>
        <w:rPr>
          <w:rFonts w:ascii="Google Sans" w:eastAsia="Google Sans" w:hAnsi="Google Sans" w:cs="Google Sans"/>
          <w:color w:val="1F1F1F"/>
        </w:rPr>
        <w:t xml:space="preserve"> が登場した。これは従来の局所的表現（Localist）やバックプロパゲーションを捨て、より広範な識別学習（Discriminative Learning）を採用したモデルである。</w:t>
      </w:r>
    </w:p>
    <w:p w14:paraId="054D41F3" w14:textId="77777777" w:rsidR="00484B5B"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性能:</w:t>
      </w:r>
      <w:r>
        <w:rPr>
          <w:rFonts w:ascii="Google Sans" w:eastAsia="Google Sans" w:hAnsi="Google Sans" w:cs="Google Sans"/>
          <w:color w:val="1F1F1F"/>
        </w:rPr>
        <w:t xml:space="preserve"> NDRAはS&amp;Bデータを含む複数のメガスタディデータにおいて、DRCやCDP+を有意に上回るアイテムレベル相関（</w:t>
      </w:r>
      <w:r>
        <w:rPr>
          <w:rFonts w:ascii="Google Sans" w:eastAsia="Google Sans" w:hAnsi="Google Sans" w:cs="Google Sans"/>
          <w:noProof/>
          <w:color w:val="1F1F1F"/>
        </w:rPr>
        <w:drawing>
          <wp:inline distT="19050" distB="19050" distL="19050" distR="19050" wp14:anchorId="113B650E" wp14:editId="2EA07CE4">
            <wp:extent cx="707157" cy="219792"/>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707157" cy="219792"/>
                    </a:xfrm>
                    <a:prstGeom prst="rect">
                      <a:avLst/>
                    </a:prstGeom>
                    <a:ln/>
                  </pic:spPr>
                </pic:pic>
              </a:graphicData>
            </a:graphic>
          </wp:inline>
        </w:drawing>
      </w:r>
      <w:r>
        <w:rPr>
          <w:rFonts w:ascii="Google Sans" w:eastAsia="Google Sans" w:hAnsi="Google Sans" w:cs="Google Sans"/>
          <w:color w:val="1F1F1F"/>
        </w:rPr>
        <w:t xml:space="preserve">）を達成している </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。これは、S&amp;Bが指摘した「頻度圧縮」の問題や「意味の影響」を、より洗練された数理モデルで解決できる可能性を示唆している。</w:t>
      </w:r>
    </w:p>
    <w:p w14:paraId="7FE7B2E2" w14:textId="77777777" w:rsidR="00484B5B"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9. 応用領域：加齢と病理への拡張</w:t>
      </w:r>
    </w:p>
    <w:p w14:paraId="76C67D5C"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SpielerとBalotaが確立したアイテムレベル解析の手法は、健常な若年者だけでなく、加齢研究や臨床心理学にも応用され、重要な知見をもたらした。</w:t>
      </w:r>
    </w:p>
    <w:p w14:paraId="37C43CF7"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9.1 加齢による語彙処理の変化</w:t>
      </w:r>
    </w:p>
    <w:p w14:paraId="7E63A405" w14:textId="77777777" w:rsidR="00484B5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Spieler and Balota (2000) は、1997年の研究を高齢者（平均73.4歳）に拡張した </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w:t>
      </w:r>
    </w:p>
    <w:p w14:paraId="4F986148" w14:textId="77777777" w:rsidR="00484B5B"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頻度効果の増大:</w:t>
      </w:r>
      <w:r>
        <w:rPr>
          <w:rFonts w:ascii="Google Sans" w:eastAsia="Google Sans" w:hAnsi="Google Sans" w:cs="Google Sans"/>
          <w:color w:val="1F1F1F"/>
        </w:rPr>
        <w:t xml:space="preserve"> 高齢者は若年者に比べて、単語頻度の影響をより強く受けることが明らかになった。つまり、高頻度語は保たれるが、低頻度語の処理がより遅延する </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w:t>
      </w:r>
    </w:p>
    <w:p w14:paraId="23D8DE9A" w14:textId="77777777" w:rsidR="00484B5B" w:rsidRDefault="00000000">
      <w:pPr>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サブ・レキシカル処理の減退:</w:t>
      </w:r>
      <w:r>
        <w:rPr>
          <w:rFonts w:ascii="Google Sans" w:eastAsia="Google Sans" w:hAnsi="Google Sans" w:cs="Google Sans"/>
          <w:color w:val="1F1F1F"/>
        </w:rPr>
        <w:t xml:space="preserve"> 一方で、単語長や近傍密度といった綴りの詳細に関わる要因の影響は、高齢者で減少していた </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w:t>
      </w:r>
    </w:p>
    <w:p w14:paraId="51E06C72"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この発見は、「加齢に伴い、分析的な読み（Sub-lexical）から、全語的な読み（Lexical/Whole-word）へと依存度がシフトする」という理論を支持するものであり、アイテムレベルの回帰分析なしには検出困難な微細な変化であった。</w:t>
      </w:r>
    </w:p>
    <w:p w14:paraId="29AD3B97"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9.2 アルツハイマー型認知症と抑制機能</w:t>
      </w:r>
    </w:p>
    <w:p w14:paraId="75D3D217"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さらに、この手法はアルツハイマー型認知症（DAT）の初期症状の検出にも応用された。Spieler, Balota, and Faust (1996) らは、ストループ課題におけるアイテムレベルの干渉効果を分析し、DAT患者における抑制機能（Inhibitory Control）の特異的な低下を定量化した </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。これは、単なる「処理速度の全般的な低下（General Slowing）」では説明できない特定の認知プロセスの障害を浮き彫りにした点で、診断的価値の高い知見である。</w:t>
      </w:r>
    </w:p>
    <w:p w14:paraId="5A2FAC13"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10. 理論的示唆：なぜモデルは失敗したのか？</w:t>
      </w:r>
    </w:p>
    <w:p w14:paraId="71E92825"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最後に、なぜ1997年当時の最先端モデル（PMSP）は、これほどまでにアイテムレベルの予測に失敗したのかを、本研究の知見に基づき総括する。</w:t>
      </w:r>
    </w:p>
    <w:p w14:paraId="18B60C14"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10.1 意味経路（Semantic Pathway）の欠如</w:t>
      </w:r>
    </w:p>
    <w:p w14:paraId="1AFA1FAE"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S&amp;B 1997でテストされたPMSP（Simulation 3）は、字形から音韻への直接経路（O→P）のみを持つモデルであった。しかし、Plaut et al. (1996) 自身が認めているように、人間の読字プロセスには意味を経由する経路（O→S→P）も関与している </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SpielerとBalotaは、モデルが説明できなかった分散の一部は、この意味的支援（Semantic Support）にあると推測した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。特に低頻度語や例外語において、意味情報は音韻生成を助ける重要な役割を果たす。近年の研究（Adelman et al., 2014など）においても、意味的多様性（Semantic Diversity）などの変数が命名潜時を予測することが示されており、S&amp;Bの推測の正しさが裏付けられている </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w:t>
      </w:r>
    </w:p>
    <w:p w14:paraId="089E0379"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10.2 アトラクタ・ダイナミクスのパラドックス</w:t>
      </w:r>
    </w:p>
    <w:p w14:paraId="30F7E158"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PMSPのアトラクタネットワークは、状態が安定するまでの時間を反応時間とした。しかし、S&amp;Bの結果（SM89の誤差スコアの方が予測力が高かった事実）は、人間が「安定したかどうか」だけでなく、「その表現がどれだけ正確か（ターゲットに近いか）」に敏感であることを示している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ニューラルネットワークにおける「セトリング（Settling）」と、人間の「反応決定（Decision making）」のメカニズムには根本的な乖離がある可能性があり、これは現在の</w:t>
      </w:r>
      <w:r>
        <w:rPr>
          <w:rFonts w:ascii="Google Sans" w:eastAsia="Google Sans" w:hAnsi="Google Sans" w:cs="Google Sans"/>
          <w:color w:val="1F1F1F"/>
        </w:rPr>
        <w:lastRenderedPageBreak/>
        <w:t>深層学習モデル（Transformer等）の解釈可能性（Interpretability）の問題にも通じる普遍的な課題である。</w:t>
      </w:r>
    </w:p>
    <w:p w14:paraId="308CC323" w14:textId="77777777" w:rsidR="00484B5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結論</w:t>
      </w:r>
    </w:p>
    <w:p w14:paraId="2326EB36" w14:textId="77777777" w:rsidR="00484B5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Spieler and Balota (1997) は、単一の研究論文という枠を超え、心理言語学における「品質管理」の基準を恒久的に書き換えたマニフェストであると言える。彼らの貢献は以下の4点に集約される。</w:t>
      </w:r>
    </w:p>
    <w:p w14:paraId="271A33C3" w14:textId="77777777" w:rsidR="00484B5B"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評価基準の厳格化:</w:t>
      </w:r>
      <w:r>
        <w:rPr>
          <w:rFonts w:ascii="Google Sans" w:eastAsia="Google Sans" w:hAnsi="Google Sans" w:cs="Google Sans"/>
          <w:color w:val="1F1F1F"/>
        </w:rPr>
        <w:t xml:space="preserve"> モデルは「平均値のパターン」ではなく「個別のデータポイント」を説明できなければならないという基準を確立した。</w:t>
      </w:r>
    </w:p>
    <w:p w14:paraId="33407BB5" w14:textId="77777777" w:rsidR="00484B5B"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コネクショニズムの限界露呈:</w:t>
      </w:r>
      <w:r>
        <w:rPr>
          <w:rFonts w:ascii="Google Sans" w:eastAsia="Google Sans" w:hAnsi="Google Sans" w:cs="Google Sans"/>
          <w:color w:val="1F1F1F"/>
        </w:rPr>
        <w:t xml:space="preserve"> 当時のPDPモデルが、頻度情報の圧縮や意味経路の欠如により、人間のパフォーマンスの複雑さを捉えきれていないことを定量的に実証した。</w:t>
      </w:r>
    </w:p>
    <w:p w14:paraId="4BD6AD9D" w14:textId="77777777" w:rsidR="00484B5B"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メガスタディへの道:</w:t>
      </w:r>
      <w:r>
        <w:rPr>
          <w:rFonts w:ascii="Google Sans" w:eastAsia="Google Sans" w:hAnsi="Google Sans" w:cs="Google Sans"/>
          <w:color w:val="1F1F1F"/>
        </w:rPr>
        <w:t xml:space="preserve"> English Lexicon Projectをはじめとする大規模データベース構築の流れを作り、分野全体をビッグデータサイエンスへと導いた。</w:t>
      </w:r>
    </w:p>
    <w:p w14:paraId="05CF383B" w14:textId="77777777" w:rsidR="00484B5B" w:rsidRDefault="00000000">
      <w:pPr>
        <w:numPr>
          <w:ilvl w:val="0"/>
          <w:numId w:val="12"/>
        </w:numPr>
        <w:pBdr>
          <w:top w:val="nil"/>
          <w:left w:val="nil"/>
          <w:bottom w:val="nil"/>
          <w:right w:val="nil"/>
          <w:between w:val="nil"/>
        </w:pBdr>
        <w:spacing w:after="120" w:line="275" w:lineRule="auto"/>
      </w:pPr>
      <w:r>
        <w:rPr>
          <w:rFonts w:ascii="Google Sans" w:eastAsia="Google Sans" w:hAnsi="Google Sans" w:cs="Google Sans"/>
          <w:b/>
          <w:bCs/>
          <w:color w:val="1F1F1F"/>
        </w:rPr>
        <w:t>ハイブリッドへの回帰:</w:t>
      </w:r>
      <w:r>
        <w:rPr>
          <w:rFonts w:ascii="Google Sans" w:eastAsia="Google Sans" w:hAnsi="Google Sans" w:cs="Google Sans"/>
          <w:color w:val="1F1F1F"/>
        </w:rPr>
        <w:t xml:space="preserve"> 純粋な分散処理モデルの限界を示したことで、CDP+やNDRAといった、より洗練されたハイブリッドモデルの開発を促進した。</w:t>
      </w:r>
    </w:p>
    <w:p w14:paraId="79ACDAE4"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今日、我々はGPT-4のような巨大言語モデル（LLM）が人間のようなテキストを生成する時代に生きている。しかし、SpielerとBalotaが30年前に投げかけた問い——「モデルは平均的な振る舞いを模倣しているだけか、それとも個別の事象の背後にある因果性を真に捉えているか？」——は、現代のAI研究においても依然として核心的な意義を持ち続けている </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。彼らの研究は、計算モデルが決して「ブラックボックス」の中に安住することを許さず、常に実証データの厳格な光に晒され続けなければならないことを、我々に教え続けているのである。</w:t>
      </w:r>
    </w:p>
    <w:p w14:paraId="77564427" w14:textId="77777777" w:rsidR="00484B5B" w:rsidRDefault="0053065B">
      <w:pPr>
        <w:pStyle w:val="Heading1"/>
        <w:spacing w:before="112" w:after="120" w:line="275" w:lineRule="auto"/>
        <w:rPr>
          <w:rFonts w:ascii="Google Sans" w:eastAsia="Google Sans" w:hAnsi="Google Sans" w:cs="Google Sans"/>
          <w:color w:val="1F1F1F"/>
          <w:sz w:val="40"/>
          <w:szCs w:val="40"/>
        </w:rPr>
      </w:pPr>
      <w:r>
        <w:rPr>
          <w:noProof/>
        </w:rPr>
      </w:r>
      <w:r>
        <w:pict w14:anchorId="3344D7A3">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r w:rsidR="00000000">
        <w:rPr>
          <w:rFonts w:ascii="Google Sans" w:eastAsia="Google Sans" w:hAnsi="Google Sans" w:cs="Google Sans"/>
          <w:color w:val="1F1F1F"/>
          <w:sz w:val="40"/>
          <w:szCs w:val="40"/>
        </w:rPr>
        <w:t>付録：データ表と統計的詳細</w:t>
      </w:r>
    </w:p>
    <w:p w14:paraId="43817897" w14:textId="77777777" w:rsidR="00484B5B" w:rsidRDefault="00000000">
      <w:pPr>
        <w:pStyle w:val="Heading2"/>
        <w:spacing w:before="0" w:after="120" w:line="275" w:lineRule="auto"/>
        <w:rPr>
          <w:rFonts w:ascii="Google Sans" w:eastAsia="Google Sans" w:hAnsi="Google Sans" w:cs="Google Sans"/>
          <w:color w:val="1F1F1F"/>
          <w:sz w:val="28"/>
          <w:szCs w:val="28"/>
        </w:rPr>
      </w:pPr>
      <w:r>
        <w:rPr>
          <w:rFonts w:ascii="Google Sans" w:eastAsia="Google Sans" w:hAnsi="Google Sans" w:cs="Google Sans"/>
          <w:color w:val="1F1F1F"/>
          <w:sz w:val="28"/>
          <w:szCs w:val="28"/>
        </w:rPr>
        <w:t>表1：人間の命名潜時に対する予測因子の説明率</w:t>
      </w:r>
    </w:p>
    <w:p w14:paraId="58FC0C66"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Spieler &amp; Balota (1997) による2,820語の回帰分析結果の要約。標準的な心理言語学的変数が、計算モデルを圧倒していることがわかる。</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484B5B" w14:paraId="01E207A8"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749333"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予測変数 (Predictor)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B3FE5D2"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単独での R2</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D60580C"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対数頻度後の9g ΔR2</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41E8505"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有意確率 (p)</w:t>
            </w:r>
          </w:p>
        </w:tc>
      </w:tr>
      <w:tr w:rsidR="00484B5B" w14:paraId="5B0DB3C3"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74C6EA7"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lastRenderedPageBreak/>
              <w:t>対数頻度 (Log Frequency)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A3DE679"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0.073</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3BF665B"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N/A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0C685F5" w14:textId="77777777" w:rsidR="00484B5B" w:rsidRDefault="00000000">
            <w:pPr>
              <w:pBdr>
                <w:top w:val="nil"/>
                <w:left w:val="nil"/>
                <w:bottom w:val="nil"/>
                <w:right w:val="nil"/>
                <w:between w:val="nil"/>
              </w:pBdr>
              <w:spacing w:line="276" w:lineRule="auto"/>
              <w:jc w:val="center"/>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41695D97" wp14:editId="02382EF2">
                  <wp:extent cx="522610" cy="218546"/>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22610" cy="218546"/>
                          </a:xfrm>
                          <a:prstGeom prst="rect">
                            <a:avLst/>
                          </a:prstGeom>
                          <a:ln/>
                        </pic:spPr>
                      </pic:pic>
                    </a:graphicData>
                  </a:graphic>
                </wp:inline>
              </w:drawing>
            </w:r>
          </w:p>
        </w:tc>
      </w:tr>
      <w:tr w:rsidR="00484B5B" w14:paraId="3ED1DD89"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B61CAE"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単語長 (Length)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77002C"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0.045</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04E8454"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N/A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F377D61" w14:textId="77777777" w:rsidR="00484B5B" w:rsidRDefault="00000000">
            <w:pPr>
              <w:pBdr>
                <w:top w:val="nil"/>
                <w:left w:val="nil"/>
                <w:bottom w:val="nil"/>
                <w:right w:val="nil"/>
                <w:between w:val="nil"/>
              </w:pBdr>
              <w:spacing w:line="276" w:lineRule="auto"/>
              <w:jc w:val="center"/>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406D9929" wp14:editId="479989EC">
                  <wp:extent cx="522610" cy="218546"/>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22610" cy="218546"/>
                          </a:xfrm>
                          <a:prstGeom prst="rect">
                            <a:avLst/>
                          </a:prstGeom>
                          <a:ln/>
                        </pic:spPr>
                      </pic:pic>
                    </a:graphicData>
                  </a:graphic>
                </wp:inline>
              </w:drawing>
            </w:r>
          </w:p>
        </w:tc>
      </w:tr>
      <w:tr w:rsidR="00484B5B" w14:paraId="461F78B9"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42CAECF"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近傍密度 (Coltheart's 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13AED1B"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0.022</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CA6D73D"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N/A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79BFC00" w14:textId="77777777" w:rsidR="00484B5B" w:rsidRDefault="00000000">
            <w:pPr>
              <w:pBdr>
                <w:top w:val="nil"/>
                <w:left w:val="nil"/>
                <w:bottom w:val="nil"/>
                <w:right w:val="nil"/>
                <w:between w:val="nil"/>
              </w:pBdr>
              <w:spacing w:line="276" w:lineRule="auto"/>
              <w:jc w:val="center"/>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84CECE9" wp14:editId="6A29A01A">
                  <wp:extent cx="522610" cy="218546"/>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22610" cy="218546"/>
                          </a:xfrm>
                          <a:prstGeom prst="rect">
                            <a:avLst/>
                          </a:prstGeom>
                          <a:ln/>
                        </pic:spPr>
                      </pic:pic>
                    </a:graphicData>
                  </a:graphic>
                </wp:inline>
              </w:drawing>
            </w:r>
          </w:p>
        </w:tc>
      </w:tr>
      <w:tr w:rsidR="00484B5B" w14:paraId="6B02FD8B"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0671A30"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上記 3 変数の合計</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E647A21"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0.217</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AE23E5"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0.144</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6A3F536" w14:textId="77777777" w:rsidR="00484B5B" w:rsidRDefault="00000000">
            <w:pPr>
              <w:pBdr>
                <w:top w:val="nil"/>
                <w:left w:val="nil"/>
                <w:bottom w:val="nil"/>
                <w:right w:val="nil"/>
                <w:between w:val="nil"/>
              </w:pBdr>
              <w:spacing w:line="276" w:lineRule="auto"/>
              <w:jc w:val="center"/>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59EFF024" wp14:editId="64DC8817">
                  <wp:extent cx="522610" cy="218546"/>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22610" cy="218546"/>
                          </a:xfrm>
                          <a:prstGeom prst="rect">
                            <a:avLst/>
                          </a:prstGeom>
                          <a:ln/>
                        </pic:spPr>
                      </pic:pic>
                    </a:graphicData>
                  </a:graphic>
                </wp:inline>
              </w:drawing>
            </w:r>
          </w:p>
        </w:tc>
      </w:tr>
      <w:tr w:rsidR="00484B5B" w14:paraId="63124F4F"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CC5B108"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SM89 (誤差スコア)</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725838D"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0.101</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534BDF7"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0.052</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368B5C7" w14:textId="77777777" w:rsidR="00484B5B" w:rsidRDefault="00000000">
            <w:pPr>
              <w:pBdr>
                <w:top w:val="nil"/>
                <w:left w:val="nil"/>
                <w:bottom w:val="nil"/>
                <w:right w:val="nil"/>
                <w:between w:val="nil"/>
              </w:pBdr>
              <w:spacing w:line="276" w:lineRule="auto"/>
              <w:jc w:val="center"/>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7B5DD396" wp14:editId="598B1DA6">
                  <wp:extent cx="522610" cy="218546"/>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22610" cy="218546"/>
                          </a:xfrm>
                          <a:prstGeom prst="rect">
                            <a:avLst/>
                          </a:prstGeom>
                          <a:ln/>
                        </pic:spPr>
                      </pic:pic>
                    </a:graphicData>
                  </a:graphic>
                </wp:inline>
              </w:drawing>
            </w:r>
          </w:p>
        </w:tc>
      </w:tr>
      <w:tr w:rsidR="00484B5B" w14:paraId="5DAFF0B7"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079767F"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PMSP (セトリングタイム)</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EC3B615"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0.033</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52D3C91"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0.016</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3794099" w14:textId="77777777" w:rsidR="00484B5B" w:rsidRDefault="00000000">
            <w:pPr>
              <w:pBdr>
                <w:top w:val="nil"/>
                <w:left w:val="nil"/>
                <w:bottom w:val="nil"/>
                <w:right w:val="nil"/>
                <w:between w:val="nil"/>
              </w:pBdr>
              <w:spacing w:line="276" w:lineRule="auto"/>
              <w:jc w:val="center"/>
              <w:rPr>
                <w:rFonts w:ascii="Google Sans" w:eastAsia="Google Sans" w:hAnsi="Google Sans" w:cs="Google Sans"/>
                <w:b/>
                <w:bCs/>
                <w:color w:val="1F1F1F"/>
              </w:rPr>
            </w:pPr>
            <w:r>
              <w:rPr>
                <w:rFonts w:ascii="Google Sans" w:eastAsia="Google Sans" w:hAnsi="Google Sans" w:cs="Google Sans"/>
                <w:b/>
                <w:bCs/>
                <w:noProof/>
                <w:color w:val="1F1F1F"/>
              </w:rPr>
              <w:drawing>
                <wp:inline distT="19050" distB="19050" distL="19050" distR="19050" wp14:anchorId="48FD4265" wp14:editId="36E8F568">
                  <wp:extent cx="522610" cy="218546"/>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22610" cy="218546"/>
                          </a:xfrm>
                          <a:prstGeom prst="rect">
                            <a:avLst/>
                          </a:prstGeom>
                          <a:ln/>
                        </pic:spPr>
                      </pic:pic>
                    </a:graphicData>
                  </a:graphic>
                </wp:inline>
              </w:drawing>
            </w:r>
          </w:p>
        </w:tc>
      </w:tr>
    </w:tbl>
    <w:p w14:paraId="41B29318" w14:textId="77777777" w:rsidR="00484B5B" w:rsidRDefault="00000000">
      <w:pPr>
        <w:pBdr>
          <w:top w:val="nil"/>
          <w:left w:val="nil"/>
          <w:bottom w:val="nil"/>
          <w:right w:val="nil"/>
          <w:between w:val="nil"/>
        </w:pBdr>
        <w:spacing w:before="480" w:after="240" w:line="275" w:lineRule="auto"/>
        <w:rPr>
          <w:rFonts w:ascii="Google Sans" w:eastAsia="Google Sans" w:hAnsi="Google Sans" w:cs="Google Sans"/>
          <w:i/>
          <w:iCs/>
          <w:color w:val="1F1F1F"/>
        </w:rPr>
      </w:pPr>
      <w:r>
        <w:rPr>
          <w:rFonts w:ascii="Google Sans" w:eastAsia="Google Sans" w:hAnsi="Google Sans" w:cs="Google Sans"/>
          <w:i/>
          <w:iCs/>
          <w:color w:val="1F1F1F"/>
        </w:rPr>
        <w:t>注：PMSPの説明率の低さ（3.3%）が、当時のモデルの限界を象徴している。</w:t>
      </w:r>
    </w:p>
    <w:p w14:paraId="7AC1C7CC" w14:textId="77777777" w:rsidR="00484B5B" w:rsidRDefault="00000000">
      <w:pPr>
        <w:pStyle w:val="Heading2"/>
        <w:spacing w:before="0" w:after="120" w:line="275" w:lineRule="auto"/>
        <w:rPr>
          <w:rFonts w:ascii="Google Sans" w:eastAsia="Google Sans" w:hAnsi="Google Sans" w:cs="Google Sans"/>
          <w:color w:val="1F1F1F"/>
          <w:sz w:val="28"/>
          <w:szCs w:val="28"/>
        </w:rPr>
      </w:pPr>
      <w:r>
        <w:rPr>
          <w:rFonts w:ascii="Google Sans" w:eastAsia="Google Sans" w:hAnsi="Google Sans" w:cs="Google Sans"/>
          <w:color w:val="1F1F1F"/>
          <w:sz w:val="28"/>
          <w:szCs w:val="28"/>
        </w:rPr>
        <w:t>表2：オンセット音素（アーティキュレーション）の影響</w:t>
      </w:r>
    </w:p>
    <w:p w14:paraId="771AD345" w14:textId="77777777" w:rsidR="00484B5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音声キーの反応特性や調音の物理的特性が命名潜時に与える影響。これらは純粋な「認知」ではないが、命名課題の分散の約30%を占めるため、モデル評価においては必ず統制（Control）する必要がある。</w:t>
      </w:r>
    </w:p>
    <w:tbl>
      <w:tblPr>
        <w:tblStyle w:val="a3"/>
        <w:tblW w:w="86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20"/>
        <w:gridCol w:w="1695"/>
        <w:gridCol w:w="2805"/>
        <w:gridCol w:w="1605"/>
      </w:tblGrid>
      <w:tr w:rsidR="00484B5B" w14:paraId="3C87BA2D" w14:textId="77777777">
        <w:trPr>
          <w:trHeight w:val="1020"/>
        </w:trPr>
        <w:tc>
          <w:tcPr>
            <w:tcW w:w="25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B27E923"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lastRenderedPageBreak/>
              <w:t>音素特徴 (Feature)</w:t>
            </w:r>
          </w:p>
        </w:tc>
        <w:tc>
          <w:tcPr>
            <w:tcW w:w="16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527D349"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区分 (Category)</w:t>
            </w:r>
          </w:p>
        </w:tc>
        <w:tc>
          <w:tcPr>
            <w:tcW w:w="28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3E15CC2"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方向性 (Effect)</w:t>
            </w:r>
          </w:p>
        </w:tc>
        <w:tc>
          <w:tcPr>
            <w:tcW w:w="16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7B02BA8" w14:textId="77777777" w:rsidR="00484B5B"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統計量 (t)</w:t>
            </w:r>
          </w:p>
        </w:tc>
      </w:tr>
      <w:tr w:rsidR="00484B5B" w14:paraId="05931C1A" w14:textId="77777777">
        <w:tc>
          <w:tcPr>
            <w:tcW w:w="25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DFE2AA3"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両唇音 (Bilabial)</w:t>
            </w:r>
          </w:p>
        </w:tc>
        <w:tc>
          <w:tcPr>
            <w:tcW w:w="16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AB68455"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調音点</w:t>
            </w:r>
          </w:p>
        </w:tc>
        <w:tc>
          <w:tcPr>
            <w:tcW w:w="28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6FF97E8"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遅延 (Slower)</w:t>
            </w:r>
          </w:p>
        </w:tc>
        <w:tc>
          <w:tcPr>
            <w:tcW w:w="16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6736FC1" w14:textId="77777777" w:rsidR="00484B5B" w:rsidRDefault="00000000">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221B7305" wp14:editId="1218514C">
                  <wp:extent cx="466204" cy="21883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66204" cy="218830"/>
                          </a:xfrm>
                          <a:prstGeom prst="rect">
                            <a:avLst/>
                          </a:prstGeom>
                          <a:ln/>
                        </pic:spPr>
                      </pic:pic>
                    </a:graphicData>
                  </a:graphic>
                </wp:inline>
              </w:drawing>
            </w:r>
          </w:p>
        </w:tc>
      </w:tr>
      <w:tr w:rsidR="00484B5B" w14:paraId="45C2A2DB" w14:textId="77777777">
        <w:tc>
          <w:tcPr>
            <w:tcW w:w="25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7A9D4E1"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軟口蓋音 (Velar)</w:t>
            </w:r>
          </w:p>
        </w:tc>
        <w:tc>
          <w:tcPr>
            <w:tcW w:w="16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958A7DC"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調音点</w:t>
            </w:r>
          </w:p>
        </w:tc>
        <w:tc>
          <w:tcPr>
            <w:tcW w:w="28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92C80F4"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遅延 (Slower)</w:t>
            </w:r>
          </w:p>
        </w:tc>
        <w:tc>
          <w:tcPr>
            <w:tcW w:w="16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B5C0F44" w14:textId="77777777" w:rsidR="00484B5B" w:rsidRDefault="00000000">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49F39937" wp14:editId="2149AD32">
                  <wp:extent cx="466204" cy="21883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6204" cy="218830"/>
                          </a:xfrm>
                          <a:prstGeom prst="rect">
                            <a:avLst/>
                          </a:prstGeom>
                          <a:ln/>
                        </pic:spPr>
                      </pic:pic>
                    </a:graphicData>
                  </a:graphic>
                </wp:inline>
              </w:drawing>
            </w:r>
          </w:p>
        </w:tc>
      </w:tr>
      <w:tr w:rsidR="00484B5B" w14:paraId="43A54177" w14:textId="77777777">
        <w:tc>
          <w:tcPr>
            <w:tcW w:w="25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6EE8ED6"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歯茎音 (Alveolar)</w:t>
            </w:r>
          </w:p>
        </w:tc>
        <w:tc>
          <w:tcPr>
            <w:tcW w:w="16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EA9B6F"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調音点</w:t>
            </w:r>
          </w:p>
        </w:tc>
        <w:tc>
          <w:tcPr>
            <w:tcW w:w="28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B59B62E"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遅延 (Slower)</w:t>
            </w:r>
          </w:p>
        </w:tc>
        <w:tc>
          <w:tcPr>
            <w:tcW w:w="16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BAF0024" w14:textId="77777777" w:rsidR="00484B5B" w:rsidRDefault="00000000">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22862551" wp14:editId="0F525937">
                  <wp:extent cx="466204" cy="21883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66204" cy="218830"/>
                          </a:xfrm>
                          <a:prstGeom prst="rect">
                            <a:avLst/>
                          </a:prstGeom>
                          <a:ln/>
                        </pic:spPr>
                      </pic:pic>
                    </a:graphicData>
                  </a:graphic>
                </wp:inline>
              </w:drawing>
            </w:r>
          </w:p>
        </w:tc>
      </w:tr>
      <w:tr w:rsidR="00484B5B" w14:paraId="63DAAB61" w14:textId="77777777">
        <w:tc>
          <w:tcPr>
            <w:tcW w:w="25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5CD4AA6"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破擦音 (Affricative)</w:t>
            </w:r>
          </w:p>
        </w:tc>
        <w:tc>
          <w:tcPr>
            <w:tcW w:w="16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B582AC"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調音法</w:t>
            </w:r>
          </w:p>
        </w:tc>
        <w:tc>
          <w:tcPr>
            <w:tcW w:w="28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162B516"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高速化 (Faster)</w:t>
            </w:r>
          </w:p>
        </w:tc>
        <w:tc>
          <w:tcPr>
            <w:tcW w:w="16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2C9D41A" w14:textId="77777777" w:rsidR="00484B5B" w:rsidRDefault="00000000">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5353CB7" wp14:editId="466718FD">
                  <wp:extent cx="545158" cy="219976"/>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45158" cy="219976"/>
                          </a:xfrm>
                          <a:prstGeom prst="rect">
                            <a:avLst/>
                          </a:prstGeom>
                          <a:ln/>
                        </pic:spPr>
                      </pic:pic>
                    </a:graphicData>
                  </a:graphic>
                </wp:inline>
              </w:drawing>
            </w:r>
          </w:p>
        </w:tc>
      </w:tr>
      <w:tr w:rsidR="00484B5B" w14:paraId="037FDC62" w14:textId="77777777">
        <w:tc>
          <w:tcPr>
            <w:tcW w:w="25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6EDA272"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摩擦音 (Fricative)</w:t>
            </w:r>
          </w:p>
        </w:tc>
        <w:tc>
          <w:tcPr>
            <w:tcW w:w="16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57DD311"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調音法</w:t>
            </w:r>
          </w:p>
        </w:tc>
        <w:tc>
          <w:tcPr>
            <w:tcW w:w="28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7172357"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高速化 (Faster)</w:t>
            </w:r>
          </w:p>
        </w:tc>
        <w:tc>
          <w:tcPr>
            <w:tcW w:w="16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DB3BDA9" w14:textId="77777777" w:rsidR="00484B5B" w:rsidRDefault="00000000">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C3679F3" wp14:editId="50F14986">
                  <wp:extent cx="545158" cy="219976"/>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45158" cy="219976"/>
                          </a:xfrm>
                          <a:prstGeom prst="rect">
                            <a:avLst/>
                          </a:prstGeom>
                          <a:ln/>
                        </pic:spPr>
                      </pic:pic>
                    </a:graphicData>
                  </a:graphic>
                </wp:inline>
              </w:drawing>
            </w:r>
          </w:p>
        </w:tc>
      </w:tr>
      <w:tr w:rsidR="00484B5B" w14:paraId="0592C8E2" w14:textId="77777777">
        <w:tc>
          <w:tcPr>
            <w:tcW w:w="25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B3642DD"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閉鎖音 (Stop)</w:t>
            </w:r>
          </w:p>
        </w:tc>
        <w:tc>
          <w:tcPr>
            <w:tcW w:w="16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BAFF904"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調音法</w:t>
            </w:r>
          </w:p>
        </w:tc>
        <w:tc>
          <w:tcPr>
            <w:tcW w:w="28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8F0FB66"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高速化 (Faster)</w:t>
            </w:r>
          </w:p>
        </w:tc>
        <w:tc>
          <w:tcPr>
            <w:tcW w:w="16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FE955F1" w14:textId="77777777" w:rsidR="00484B5B" w:rsidRDefault="00000000">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39E893F" wp14:editId="0404217D">
                  <wp:extent cx="609674" cy="219102"/>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609674" cy="219102"/>
                          </a:xfrm>
                          <a:prstGeom prst="rect">
                            <a:avLst/>
                          </a:prstGeom>
                          <a:ln/>
                        </pic:spPr>
                      </pic:pic>
                    </a:graphicData>
                  </a:graphic>
                </wp:inline>
              </w:drawing>
            </w:r>
          </w:p>
        </w:tc>
      </w:tr>
      <w:tr w:rsidR="00484B5B" w14:paraId="4A7F9FF3" w14:textId="77777777">
        <w:tc>
          <w:tcPr>
            <w:tcW w:w="25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B3140C5"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有声音 (Voiced)</w:t>
            </w:r>
          </w:p>
        </w:tc>
        <w:tc>
          <w:tcPr>
            <w:tcW w:w="169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B8EA805"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有声性</w:t>
            </w:r>
          </w:p>
        </w:tc>
        <w:tc>
          <w:tcPr>
            <w:tcW w:w="28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AD0BB96" w14:textId="77777777" w:rsidR="00484B5B" w:rsidRDefault="00000000">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遅延 (Slower)</w:t>
            </w:r>
          </w:p>
        </w:tc>
        <w:tc>
          <w:tcPr>
            <w:tcW w:w="1605"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4B90EF6" w14:textId="77777777" w:rsidR="00484B5B" w:rsidRDefault="00000000">
            <w:pPr>
              <w:pBdr>
                <w:top w:val="nil"/>
                <w:left w:val="nil"/>
                <w:bottom w:val="nil"/>
                <w:right w:val="nil"/>
                <w:between w:val="nil"/>
              </w:pBdr>
              <w:spacing w:line="276"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2D856598" wp14:editId="71973FFF">
                  <wp:extent cx="466204" cy="21883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66204" cy="218830"/>
                          </a:xfrm>
                          <a:prstGeom prst="rect">
                            <a:avLst/>
                          </a:prstGeom>
                          <a:ln/>
                        </pic:spPr>
                      </pic:pic>
                    </a:graphicData>
                  </a:graphic>
                </wp:inline>
              </w:drawing>
            </w:r>
          </w:p>
        </w:tc>
      </w:tr>
    </w:tbl>
    <w:p w14:paraId="1D280A0B" w14:textId="77777777" w:rsidR="00484B5B" w:rsidRDefault="00000000">
      <w:pPr>
        <w:pBdr>
          <w:top w:val="nil"/>
          <w:left w:val="nil"/>
          <w:bottom w:val="nil"/>
          <w:right w:val="nil"/>
          <w:between w:val="nil"/>
        </w:pBdr>
        <w:spacing w:before="480" w:after="255" w:line="275" w:lineRule="auto"/>
        <w:rPr>
          <w:rFonts w:ascii="Google Sans" w:eastAsia="Google Sans" w:hAnsi="Google Sans" w:cs="Google Sans"/>
          <w:color w:val="1F1F1F"/>
        </w:rPr>
      </w:pPr>
      <w:r>
        <w:rPr>
          <w:rFonts w:ascii="Google Sans" w:eastAsia="Google Sans" w:hAnsi="Google Sans" w:cs="Google Sans"/>
          <w:i/>
          <w:iCs/>
          <w:color w:val="1F1F1F"/>
        </w:rPr>
        <w:t>p &lt;.05, ^{**}p &lt;.01</w:t>
      </w:r>
      <w:r>
        <w:rPr>
          <w:rFonts w:ascii="Google Sans" w:eastAsia="Google Sans" w:hAnsi="Google Sans" w:cs="Google Sans"/>
          <w:color w:val="1F1F1F"/>
        </w:rPr>
        <w:t xml:space="preserve"> 出典: Spieler &amp; Balota (1997), Table 4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の回帰係数より解釈。</w:t>
      </w:r>
    </w:p>
    <w:p w14:paraId="2415F687" w14:textId="77777777" w:rsidR="00484B5B"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799F6B29"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Bringing Computational Models of Word Naming down to the Item Level,  Daniel </w:t>
      </w:r>
      <w:r>
        <w:rPr>
          <w:rFonts w:ascii="Google Sans" w:eastAsia="Google Sans" w:hAnsi="Google Sans" w:cs="Google Sans"/>
          <w:sz w:val="24"/>
          <w:szCs w:val="24"/>
        </w:rPr>
        <w:lastRenderedPageBreak/>
        <w:t xml:space="preserve">H. Spieler and  David A. Balota, Psychological Science, Vol. 8, No. 6 (Nov., 1997), pp. 411-416,  </w:t>
      </w:r>
      <w:hyperlink r:id="rId20">
        <w:r>
          <w:rPr>
            <w:rFonts w:ascii="Google Sans" w:eastAsia="Google Sans" w:hAnsi="Google Sans" w:cs="Google Sans"/>
            <w:color w:val="1155CC"/>
            <w:sz w:val="24"/>
            <w:szCs w:val="24"/>
            <w:u w:val="single"/>
          </w:rPr>
          <w:t>http://www.jstor.org/stable/40063226</w:t>
        </w:r>
      </w:hyperlink>
      <w:r>
        <w:rPr>
          <w:rFonts w:ascii="Google Sans" w:eastAsia="Google Sans" w:hAnsi="Google Sans" w:cs="Google Sans"/>
          <w:sz w:val="24"/>
          <w:szCs w:val="24"/>
        </w:rPr>
        <w:t>, [PDF](</w:t>
      </w:r>
      <w:hyperlink r:id="rId21">
        <w:r>
          <w:rPr>
            <w:rFonts w:ascii="Google Sans" w:eastAsia="Google Sans" w:hAnsi="Google Sans" w:cs="Google Sans"/>
            <w:b/>
            <w:bCs/>
            <w:color w:val="1155CC"/>
            <w:u w:val="single"/>
          </w:rPr>
          <w:t>SB1997</w:t>
        </w:r>
      </w:hyperlink>
      <w:r>
        <w:rPr>
          <w:rFonts w:ascii="Google Sans" w:eastAsia="Google Sans" w:hAnsi="Google Sans" w:cs="Google Sans"/>
          <w:sz w:val="24"/>
          <w:szCs w:val="24"/>
        </w:rPr>
        <w:t>)</w:t>
      </w:r>
    </w:p>
    <w:p w14:paraId="73DF0717"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Understanding normal and impaired word reading: computational principles in quasi-regular domains - PubMed, accessed February 19, 2026, </w:t>
      </w:r>
      <w:hyperlink r:id="rId22">
        <w:r>
          <w:rPr>
            <w:rFonts w:ascii="Google Sans" w:eastAsia="Google Sans" w:hAnsi="Google Sans" w:cs="Google Sans"/>
            <w:color w:val="0000EE"/>
            <w:sz w:val="24"/>
            <w:szCs w:val="24"/>
            <w:u w:val="single"/>
          </w:rPr>
          <w:t>https://pubmed.ncbi.nlm.nih.gov/8650300/</w:t>
        </w:r>
      </w:hyperlink>
    </w:p>
    <w:p w14:paraId="4E1FFFA8"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(PDF) The megastudy paradigm: A new direction for behavioral research in cognitive science. - ResearchGate, accessed February 19, 2026, </w:t>
      </w:r>
      <w:hyperlink r:id="rId23">
        <w:r>
          <w:rPr>
            <w:rFonts w:ascii="Google Sans" w:eastAsia="Google Sans" w:hAnsi="Google Sans" w:cs="Google Sans"/>
            <w:color w:val="0000EE"/>
            <w:sz w:val="24"/>
            <w:szCs w:val="24"/>
            <w:u w:val="single"/>
          </w:rPr>
          <w:t>https://www.researchgate.net/publication/338611175_The_megastudy_paradigm_A_new_direction_for_behavioral_research_in_cognitive_science</w:t>
        </w:r>
      </w:hyperlink>
    </w:p>
    <w:p w14:paraId="3C9FA513"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(PDF) The English Lexicon Project - ResearchGate, accessed February 19, 2026, </w:t>
      </w:r>
      <w:hyperlink r:id="rId24">
        <w:r>
          <w:rPr>
            <w:rFonts w:ascii="Google Sans" w:eastAsia="Google Sans" w:hAnsi="Google Sans" w:cs="Google Sans"/>
            <w:color w:val="0000EE"/>
            <w:sz w:val="24"/>
            <w:szCs w:val="24"/>
            <w:u w:val="single"/>
          </w:rPr>
          <w:t>https://www.researchgate.net/publication/5887968_The_English_Lexicon_Project</w:t>
        </w:r>
      </w:hyperlink>
    </w:p>
    <w:p w14:paraId="538CA9F6"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The English Lexicon Project - PubMed - NIH, accessed February 19, 2026, </w:t>
      </w:r>
      <w:hyperlink r:id="rId25">
        <w:r>
          <w:rPr>
            <w:rFonts w:ascii="Google Sans" w:eastAsia="Google Sans" w:hAnsi="Google Sans" w:cs="Google Sans"/>
            <w:color w:val="0000EE"/>
            <w:sz w:val="24"/>
            <w:szCs w:val="24"/>
            <w:u w:val="single"/>
          </w:rPr>
          <w:t>https://pubmed.ncbi.nlm.nih.gov/17958156/</w:t>
        </w:r>
      </w:hyperlink>
    </w:p>
    <w:p w14:paraId="566116F6"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Evaluating word reading models at the item level: Matching the grain of theory and data - Neuroscience Institute, accessed February 19, 2026, </w:t>
      </w:r>
      <w:hyperlink r:id="rId26">
        <w:r>
          <w:rPr>
            <w:rFonts w:ascii="Google Sans" w:eastAsia="Google Sans" w:hAnsi="Google Sans" w:cs="Google Sans"/>
            <w:color w:val="0000EE"/>
            <w:sz w:val="24"/>
            <w:szCs w:val="24"/>
            <w:u w:val="single"/>
          </w:rPr>
          <w:t>https://ni.cmu.edu/~plaut/papers/pdf/SeidenbergPlaut98PsySci.item-level.pdf</w:t>
        </w:r>
      </w:hyperlink>
    </w:p>
    <w:p w14:paraId="65BAB7FA"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Seidenberg and Plaut (1998), accessed February 19, 2026, </w:t>
      </w:r>
      <w:hyperlink r:id="rId27">
        <w:r>
          <w:rPr>
            <w:rFonts w:ascii="Google Sans" w:eastAsia="Google Sans" w:hAnsi="Google Sans" w:cs="Google Sans"/>
            <w:color w:val="0000EE"/>
            <w:sz w:val="24"/>
            <w:szCs w:val="24"/>
            <w:u w:val="single"/>
          </w:rPr>
          <w:t>https://ni.cmu.edu/~plaut/papers/abstracts/SeidenbergPlaut98PsySci.item-level.html</w:t>
        </w:r>
      </w:hyperlink>
    </w:p>
    <w:p w14:paraId="4730DF24"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The unbearable articulatory nature of naming: On the reliability of word naming responses at the item level - ResearchGate, accessed February 19, 2026, </w:t>
      </w:r>
      <w:hyperlink r:id="rId28">
        <w:r>
          <w:rPr>
            <w:rFonts w:ascii="Google Sans" w:eastAsia="Google Sans" w:hAnsi="Google Sans" w:cs="Google Sans"/>
            <w:color w:val="0000EE"/>
            <w:sz w:val="24"/>
            <w:szCs w:val="24"/>
            <w:u w:val="single"/>
          </w:rPr>
          <w:t>https://www.researchgate.net/publication/232969771_The_unbearable_articulatory_nature_of_naming_On_the_reliability_of_word_naming_responses_at_the_item_level</w:t>
        </w:r>
      </w:hyperlink>
    </w:p>
    <w:p w14:paraId="38ED4271"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The unbearable articulatory nature of naming: on the reliability of word naming responses at the item level - PubMed, accessed February 19, 2026, </w:t>
      </w:r>
      <w:hyperlink r:id="rId29">
        <w:r>
          <w:rPr>
            <w:rFonts w:ascii="Google Sans" w:eastAsia="Google Sans" w:hAnsi="Google Sans" w:cs="Google Sans"/>
            <w:color w:val="0000EE"/>
            <w:sz w:val="24"/>
            <w:szCs w:val="24"/>
            <w:u w:val="single"/>
          </w:rPr>
          <w:t>https://pubmed.ncbi.nlm.nih.gov/23132607/</w:t>
        </w:r>
      </w:hyperlink>
    </w:p>
    <w:p w14:paraId="011AC524"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Accounting for Item Variance in Large-scale Databases - Frontiers, accessed February 19, 2026, </w:t>
      </w:r>
      <w:hyperlink r:id="rId30">
        <w:r>
          <w:rPr>
            <w:rFonts w:ascii="Google Sans" w:eastAsia="Google Sans" w:hAnsi="Google Sans" w:cs="Google Sans"/>
            <w:color w:val="0000EE"/>
            <w:sz w:val="24"/>
            <w:szCs w:val="24"/>
            <w:u w:val="single"/>
          </w:rPr>
          <w:t>https://www.frontiersin.org/journals/psychology/articles/10.3389/fpsyg.2010.00200/full</w:t>
        </w:r>
      </w:hyperlink>
    </w:p>
    <w:p w14:paraId="7B09B29E"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Megastudies, crowdsourcing, and large datasets in psycholinguistics: An overview of recent developments, accessed February 19, 2026, </w:t>
      </w:r>
      <w:hyperlink r:id="rId31">
        <w:r>
          <w:rPr>
            <w:rFonts w:ascii="Google Sans" w:eastAsia="Google Sans" w:hAnsi="Google Sans" w:cs="Google Sans"/>
            <w:color w:val="0000EE"/>
            <w:sz w:val="24"/>
            <w:szCs w:val="24"/>
            <w:u w:val="single"/>
          </w:rPr>
          <w:t>http://psychnet.wustl.edu/coglab/wp-content/uploads/2015/01/Megastudies-crowdsourcing-and-large-datasets-in-psycholinguistics.pdf</w:t>
        </w:r>
      </w:hyperlink>
    </w:p>
    <w:p w14:paraId="3E164E9C"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the english Lexicon Project - ResearchGate, accessed February 19, 2026, </w:t>
      </w:r>
      <w:hyperlink r:id="rId32">
        <w:r>
          <w:rPr>
            <w:rFonts w:ascii="Google Sans" w:eastAsia="Google Sans" w:hAnsi="Google Sans" w:cs="Google Sans"/>
            <w:color w:val="0000EE"/>
            <w:sz w:val="24"/>
            <w:szCs w:val="24"/>
            <w:u w:val="single"/>
          </w:rPr>
          <w:t>https://www.researchgate.net/profile/Melvin-Yap/publication/5887968_The_English_Lexicon_Project/links/0fcfd50894c3cad6fb000000/The-English-Lexicon-Project.pdf</w:t>
        </w:r>
      </w:hyperlink>
    </w:p>
    <w:p w14:paraId="78D29B99"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The English Lexicon Project – A How to Guide for Researchers and Instructors, accessed February 19, 2026, </w:t>
      </w:r>
      <w:hyperlink r:id="rId33">
        <w:r>
          <w:rPr>
            <w:rFonts w:ascii="Google Sans" w:eastAsia="Google Sans" w:hAnsi="Google Sans" w:cs="Google Sans"/>
            <w:color w:val="0000EE"/>
            <w:sz w:val="24"/>
            <w:szCs w:val="24"/>
            <w:u w:val="single"/>
          </w:rPr>
          <w:t>https://researchworks.creighton.edu/esploro/outputs/bookChapter/The-English-Lexicon-Project--A/991006108172402656</w:t>
        </w:r>
      </w:hyperlink>
    </w:p>
    <w:p w14:paraId="42A8301F"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lastRenderedPageBreak/>
        <w:t xml:space="preserve">The British Lexicon Project: Lexical decision data for 28,730 monosyllabic and disyllabic English words - PMC, accessed February 19, 2026, </w:t>
      </w:r>
      <w:hyperlink r:id="rId34">
        <w:r>
          <w:rPr>
            <w:rFonts w:ascii="Google Sans" w:eastAsia="Google Sans" w:hAnsi="Google Sans" w:cs="Google Sans"/>
            <w:color w:val="0000EE"/>
            <w:sz w:val="24"/>
            <w:szCs w:val="24"/>
            <w:u w:val="single"/>
          </w:rPr>
          <w:t>https://pmc.ncbi.nlm.nih.gov/articles/PMC3278621/</w:t>
        </w:r>
      </w:hyperlink>
    </w:p>
    <w:p w14:paraId="494AF28C"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Visual Word Recognition, accessed February 19, 2026, </w:t>
      </w:r>
      <w:hyperlink r:id="rId35">
        <w:r>
          <w:rPr>
            <w:rFonts w:ascii="Google Sans" w:eastAsia="Google Sans" w:hAnsi="Google Sans" w:cs="Google Sans"/>
            <w:color w:val="0000EE"/>
            <w:sz w:val="24"/>
            <w:szCs w:val="24"/>
            <w:u w:val="single"/>
          </w:rPr>
          <w:t>http://psychnet.wustl.edu/coglab/wp-content/uploads/2015/01/Oxford-Pub.pdf</w:t>
        </w:r>
      </w:hyperlink>
    </w:p>
    <w:p w14:paraId="5B47C42B"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Accounting for Item Variance in Large-scale Databases - PMC, accessed February 19, 2026, </w:t>
      </w:r>
      <w:hyperlink r:id="rId36">
        <w:r>
          <w:rPr>
            <w:rFonts w:ascii="Google Sans" w:eastAsia="Google Sans" w:hAnsi="Google Sans" w:cs="Google Sans"/>
            <w:color w:val="0000EE"/>
            <w:sz w:val="24"/>
            <w:szCs w:val="24"/>
            <w:u w:val="single"/>
          </w:rPr>
          <w:t>https://pmc.ncbi.nlm.nih.gov/articles/PMC3125539/</w:t>
        </w:r>
      </w:hyperlink>
    </w:p>
    <w:p w14:paraId="6B3D8142"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MEGALEX: A megastudy of visual and auditory word recognition, accessed February 19, 2026, </w:t>
      </w:r>
      <w:hyperlink r:id="rId37">
        <w:r>
          <w:rPr>
            <w:rFonts w:ascii="Google Sans" w:eastAsia="Google Sans" w:hAnsi="Google Sans" w:cs="Google Sans"/>
            <w:color w:val="0000EE"/>
            <w:sz w:val="24"/>
            <w:szCs w:val="24"/>
            <w:u w:val="single"/>
          </w:rPr>
          <w:t>https://www.unicog.org/publications/Ferrand%20et%20al.%20-%202018%20-%20MEGALEX%20A%20megastudy%20of%20visual%20and%20auditory%20word%20r.pdf</w:t>
        </w:r>
      </w:hyperlink>
    </w:p>
    <w:p w14:paraId="3194A070"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Predicting Conversion to Dementia of the Alzheimer Type in a Healthy Control Sample: The Power of Errors in Stroop Color Naming - PMC, accessed February 19, 2026, </w:t>
      </w:r>
      <w:hyperlink r:id="rId38">
        <w:r>
          <w:rPr>
            <w:rFonts w:ascii="Google Sans" w:eastAsia="Google Sans" w:hAnsi="Google Sans" w:cs="Google Sans"/>
            <w:color w:val="0000EE"/>
            <w:sz w:val="24"/>
            <w:szCs w:val="24"/>
            <w:u w:val="single"/>
          </w:rPr>
          <w:t>https://pmc.ncbi.nlm.nih.gov/articles/PMC2886285/</w:t>
        </w:r>
      </w:hyperlink>
    </w:p>
    <w:p w14:paraId="2DDBABE6"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European Journal of Cognitive Psychology The connectionist dual process (CDP) approach to modelling reading aloud, accessed February 19, 2026, </w:t>
      </w:r>
      <w:hyperlink r:id="rId39">
        <w:r>
          <w:rPr>
            <w:rFonts w:ascii="Google Sans" w:eastAsia="Google Sans" w:hAnsi="Google Sans" w:cs="Google Sans"/>
            <w:color w:val="0000EE"/>
            <w:sz w:val="24"/>
            <w:szCs w:val="24"/>
            <w:u w:val="single"/>
          </w:rPr>
          <w:t>http://ccnl.psy.unipd.it/publications/publications_folder/the-connectionist-dual-process-cdp-approach-to-modelling-reading-aloud</w:t>
        </w:r>
      </w:hyperlink>
    </w:p>
    <w:p w14:paraId="5F5E6DC5"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A Computational Model of Normal and Impaired Lexical Decision: Graded Semantic Effects, accessed February 19, 2026, </w:t>
      </w:r>
      <w:hyperlink r:id="rId40">
        <w:r>
          <w:rPr>
            <w:rFonts w:ascii="Google Sans" w:eastAsia="Google Sans" w:hAnsi="Google Sans" w:cs="Google Sans"/>
            <w:color w:val="0000EE"/>
            <w:sz w:val="24"/>
            <w:szCs w:val="24"/>
            <w:u w:val="single"/>
          </w:rPr>
          <w:t>https://www.biorxiv.org/content/10.1101/708156v1.full-text</w:t>
        </w:r>
      </w:hyperlink>
    </w:p>
    <w:p w14:paraId="44A608E4"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Nested Incremental Modeling in the Development of Computational Theories: The CDP Model of Reading Aloud, accessed February 19, 2026, </w:t>
      </w:r>
      <w:hyperlink r:id="rId41">
        <w:r>
          <w:rPr>
            <w:rFonts w:ascii="Google Sans" w:eastAsia="Google Sans" w:hAnsi="Google Sans" w:cs="Google Sans"/>
            <w:color w:val="0000EE"/>
            <w:sz w:val="24"/>
            <w:szCs w:val="24"/>
            <w:u w:val="single"/>
          </w:rPr>
          <w:t>http://ccnl.psy.unipd.it/publications/publications_folder/nested-incremental-modeling-in-the-development-of-computational-theories-the-cdp-model-of-reading-aloud</w:t>
        </w:r>
      </w:hyperlink>
    </w:p>
    <w:p w14:paraId="30AFE301"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NDRA: A single route model of response times in the reading aloud task based on discriminative learning - PMC, accessed February 19, 2026, </w:t>
      </w:r>
      <w:hyperlink r:id="rId42">
        <w:r>
          <w:rPr>
            <w:rFonts w:ascii="Google Sans" w:eastAsia="Google Sans" w:hAnsi="Google Sans" w:cs="Google Sans"/>
            <w:color w:val="0000EE"/>
            <w:sz w:val="24"/>
            <w:szCs w:val="24"/>
            <w:u w:val="single"/>
          </w:rPr>
          <w:t>https://pmc.ncbi.nlm.nih.gov/articles/PMC6668775/</w:t>
        </w:r>
      </w:hyperlink>
    </w:p>
    <w:p w14:paraId="66A45E79"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NDRA: A single route model of response times in the reading aloud task based on discriminative learning - Our journal portfolio - PLOS, accessed February 19, 2026, </w:t>
      </w:r>
      <w:hyperlink r:id="rId43">
        <w:r>
          <w:rPr>
            <w:rFonts w:ascii="Google Sans" w:eastAsia="Google Sans" w:hAnsi="Google Sans" w:cs="Google Sans"/>
            <w:color w:val="0000EE"/>
            <w:sz w:val="24"/>
            <w:szCs w:val="24"/>
            <w:u w:val="single"/>
          </w:rPr>
          <w:t>https://journals.plos.org/plosone/article?id=10.1371/journal.pone.0218802</w:t>
        </w:r>
      </w:hyperlink>
    </w:p>
    <w:p w14:paraId="4AC9423D"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Factors influencing word naming in younger and older adults - PubMed - NIH, accessed February 19, 2026, </w:t>
      </w:r>
      <w:hyperlink r:id="rId44">
        <w:r>
          <w:rPr>
            <w:rFonts w:ascii="Google Sans" w:eastAsia="Google Sans" w:hAnsi="Google Sans" w:cs="Google Sans"/>
            <w:color w:val="0000EE"/>
            <w:sz w:val="24"/>
            <w:szCs w:val="24"/>
            <w:u w:val="single"/>
          </w:rPr>
          <w:t>https://pubmed.ncbi.nlm.nih.gov/10879577/</w:t>
        </w:r>
      </w:hyperlink>
    </w:p>
    <w:p w14:paraId="25FF08C9"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Factors Influencing Word Naming in Younger and Older Adults - ResearchGate, accessed February 19, 2026, </w:t>
      </w:r>
      <w:hyperlink r:id="rId45">
        <w:r>
          <w:rPr>
            <w:rFonts w:ascii="Google Sans" w:eastAsia="Google Sans" w:hAnsi="Google Sans" w:cs="Google Sans"/>
            <w:color w:val="0000EE"/>
            <w:sz w:val="24"/>
            <w:szCs w:val="24"/>
            <w:u w:val="single"/>
          </w:rPr>
          <w:t>https://www.researchgate.net/publication/12438553_Factors_Influencing_Word_Naming_in_Younger_and_Older_Adults</w:t>
        </w:r>
      </w:hyperlink>
    </w:p>
    <w:p w14:paraId="4400CCB4"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Factors influencing word naming in younger and older adults. - ResearchGate, accessed February 19, 2026, </w:t>
      </w:r>
      <w:hyperlink r:id="rId46">
        <w:r>
          <w:rPr>
            <w:rFonts w:ascii="Google Sans" w:eastAsia="Google Sans" w:hAnsi="Google Sans" w:cs="Google Sans"/>
            <w:color w:val="0000EE"/>
            <w:sz w:val="24"/>
            <w:szCs w:val="24"/>
            <w:u w:val="single"/>
          </w:rPr>
          <w:t>https://www.researchgate.net/publication/282424794_Factors_influencing_word_naming_in_younger_and_older_adults</w:t>
        </w:r>
      </w:hyperlink>
    </w:p>
    <w:p w14:paraId="6DB9EC61"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lastRenderedPageBreak/>
        <w:t xml:space="preserve">Phonological Blocking During Picture Naming in Dementia of the Alzheimer Type, accessed February 19, 2026, </w:t>
      </w:r>
      <w:hyperlink r:id="rId47">
        <w:r>
          <w:rPr>
            <w:rFonts w:ascii="Google Sans" w:eastAsia="Google Sans" w:hAnsi="Google Sans" w:cs="Google Sans"/>
            <w:color w:val="0000EE"/>
            <w:sz w:val="24"/>
            <w:szCs w:val="24"/>
            <w:u w:val="single"/>
          </w:rPr>
          <w:t>http://psychnet.wustl.edu/coglab/wp-content/uploads/2015/01/Phonological-Blocking-2004.pdf</w:t>
        </w:r>
      </w:hyperlink>
    </w:p>
    <w:p w14:paraId="10AE4106"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Comparing Word Processing Times in Naming, Lexical Decision, and Progressive Demasking: Evidence from Chronolex - ResearchGate, accessed February 19, 2026, </w:t>
      </w:r>
      <w:hyperlink r:id="rId48">
        <w:r>
          <w:rPr>
            <w:rFonts w:ascii="Google Sans" w:eastAsia="Google Sans" w:hAnsi="Google Sans" w:cs="Google Sans"/>
            <w:color w:val="0000EE"/>
            <w:sz w:val="24"/>
            <w:szCs w:val="24"/>
            <w:u w:val="single"/>
          </w:rPr>
          <w:t>https://www.researchgate.net/publication/51769936_Comparing_Word_Processing_Times_in_Naming_Lexical_Decision_and_Progressive_Demasking_Evidence_from_Chronolex</w:t>
        </w:r>
      </w:hyperlink>
    </w:p>
    <w:p w14:paraId="0801395B"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PART I Word Recognition Processes in Reading, accessed February 19, 2026, </w:t>
      </w:r>
      <w:hyperlink r:id="rId49">
        <w:r>
          <w:rPr>
            <w:rFonts w:ascii="Google Sans" w:eastAsia="Google Sans" w:hAnsi="Google Sans" w:cs="Google Sans"/>
            <w:color w:val="0000EE"/>
            <w:sz w:val="24"/>
            <w:szCs w:val="24"/>
            <w:u w:val="single"/>
          </w:rPr>
          <w:t>https://www.blackwellpublishing.com/content/bpl_images/content_store/sample_chapter/1405114886/Snowling_sample_chapter1.pdf</w:t>
        </w:r>
      </w:hyperlink>
    </w:p>
    <w:p w14:paraId="3202180C"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Accounting for item-level variance in recognition memory: Comparing word frequency and contextual diversity - PubMed, accessed February 19, 2026, </w:t>
      </w:r>
      <w:hyperlink r:id="rId50">
        <w:r>
          <w:rPr>
            <w:rFonts w:ascii="Google Sans" w:eastAsia="Google Sans" w:hAnsi="Google Sans" w:cs="Google Sans"/>
            <w:color w:val="0000EE"/>
            <w:sz w:val="24"/>
            <w:szCs w:val="24"/>
            <w:u w:val="single"/>
          </w:rPr>
          <w:t>https://pubmed.ncbi.nlm.nih.gov/34811640/</w:t>
        </w:r>
      </w:hyperlink>
    </w:p>
    <w:p w14:paraId="156162D9"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Accounting for item-level variance in recognition memory: Comparing word frequency and contextual diversity - ResearchGate, accessed February 19, 2026, </w:t>
      </w:r>
      <w:hyperlink r:id="rId51">
        <w:r>
          <w:rPr>
            <w:rFonts w:ascii="Google Sans" w:eastAsia="Google Sans" w:hAnsi="Google Sans" w:cs="Google Sans"/>
            <w:color w:val="0000EE"/>
            <w:sz w:val="24"/>
            <w:szCs w:val="24"/>
            <w:u w:val="single"/>
          </w:rPr>
          <w:t>https://www.researchgate.net/publication/356444020_Accounting_for_item-level_variance_in_recognition_memory_Comparing_word_frequency_and_contextual_diversity</w:t>
        </w:r>
      </w:hyperlink>
    </w:p>
    <w:p w14:paraId="5419D42E" w14:textId="77777777" w:rsidR="00484B5B"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Language Comprehension, Production, and ... - DSpace@MIT, accessed February 19, 2026, </w:t>
      </w:r>
      <w:hyperlink r:id="rId52">
        <w:r>
          <w:rPr>
            <w:rFonts w:ascii="Google Sans" w:eastAsia="Google Sans" w:hAnsi="Google Sans" w:cs="Google Sans"/>
            <w:color w:val="0000EE"/>
            <w:sz w:val="24"/>
            <w:szCs w:val="24"/>
            <w:u w:val="single"/>
          </w:rPr>
          <w:t>https://dspace.mit.edu/bitstream/handle/1721.1/164842/eisape-eisape-phd-bcs-2025-thesis.pdf?sequence=1&amp;isAllowed=y</w:t>
        </w:r>
      </w:hyperlink>
    </w:p>
    <w:sectPr w:rsidR="00484B5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81D8996-5F72-5443-A4F6-E04D8A510E9A}"/>
    <w:embedBold r:id="rId2" w:fontKey="{CB7CBB0F-D02D-2646-9D2E-09B3F392F76C}"/>
  </w:font>
  <w:font w:name="MS Mincho">
    <w:altName w:val="ＭＳ 明朝"/>
    <w:panose1 w:val="02020609040205080304"/>
    <w:charset w:val="80"/>
    <w:family w:val="modern"/>
    <w:pitch w:val="fixed"/>
    <w:sig w:usb0="E00002FF" w:usb1="6AC7FDFB" w:usb2="08000012" w:usb3="00000000" w:csb0="0002009F" w:csb1="00000000"/>
    <w:embedBold r:id="rId3" w:subsetted="1" w:fontKey="{3A0DBFFE-47EC-4C47-942B-F4770703C8E4}"/>
  </w:font>
  <w:font w:name="Times New Roman">
    <w:panose1 w:val="02020603050405020304"/>
    <w:charset w:val="00"/>
    <w:family w:val="roman"/>
    <w:pitch w:val="variable"/>
    <w:sig w:usb0="E0002EFF" w:usb1="C000785B" w:usb2="00000009" w:usb3="00000000" w:csb0="000001FF" w:csb1="00000000"/>
    <w:embedRegular r:id="rId4" w:fontKey="{EDAE005B-2EBD-F645-A214-F93BC144819E}"/>
  </w:font>
  <w:font w:name="Georgia">
    <w:panose1 w:val="02040502050405020303"/>
    <w:charset w:val="00"/>
    <w:family w:val="roman"/>
    <w:pitch w:val="variable"/>
    <w:sig w:usb0="00000287" w:usb1="00000000" w:usb2="00000000" w:usb3="00000000" w:csb0="0000009F" w:csb1="00000000"/>
    <w:embedItalic r:id="rId5" w:fontKey="{6E4E3879-0CB8-7748-A582-62E10BD10D9A}"/>
  </w:font>
  <w:font w:name="Google Sans">
    <w:charset w:val="00"/>
    <w:family w:val="auto"/>
    <w:pitch w:val="default"/>
    <w:embedRegular r:id="rId6" w:fontKey="{1D50D462-D2CC-024D-8E5A-1A556F6487AB}"/>
    <w:embedBold r:id="rId7" w:fontKey="{59AA25A1-8B30-004C-B631-EC3FCA3CC2E4}"/>
    <w:embedItalic r:id="rId8" w:fontKey="{29E6D860-CBB1-7143-857A-ADD592B2782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9" w:fontKey="{51198D8A-CF4F-EF4D-810E-4DE57E407058}"/>
  </w:font>
  <w:font w:name="Cambria">
    <w:panose1 w:val="02040503050406030204"/>
    <w:charset w:val="00"/>
    <w:family w:val="roman"/>
    <w:pitch w:val="variable"/>
    <w:sig w:usb0="E00006FF" w:usb1="420024FF" w:usb2="02000000" w:usb3="00000000" w:csb0="0000019F" w:csb1="00000000"/>
    <w:embedRegular r:id="rId10" w:fontKey="{610C7E42-D03F-E14E-AB42-CFD84BC208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98A"/>
    <w:multiLevelType w:val="multilevel"/>
    <w:tmpl w:val="39E2F26A"/>
    <w:lvl w:ilvl="0">
      <w:start w:val="1"/>
      <w:numFmt w:val="decimal"/>
      <w:lvlText w:val="%1."/>
      <w:lvlJc w:val="left"/>
      <w:pPr>
        <w:ind w:left="453"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33"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546E2F"/>
    <w:multiLevelType w:val="multilevel"/>
    <w:tmpl w:val="B560B02C"/>
    <w:lvl w:ilvl="0">
      <w:start w:val="1"/>
      <w:numFmt w:val="decimal"/>
      <w:lvlText w:val="%1."/>
      <w:lvlJc w:val="left"/>
      <w:pPr>
        <w:ind w:left="453"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33"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30C697C"/>
    <w:multiLevelType w:val="multilevel"/>
    <w:tmpl w:val="0FF695D0"/>
    <w:lvl w:ilvl="0">
      <w:start w:val="1"/>
      <w:numFmt w:val="bullet"/>
      <w:lvlText w:val="●"/>
      <w:lvlJc w:val="left"/>
      <w:pPr>
        <w:ind w:left="439"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E30157D"/>
    <w:multiLevelType w:val="multilevel"/>
    <w:tmpl w:val="10B4419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0E74C18"/>
    <w:multiLevelType w:val="multilevel"/>
    <w:tmpl w:val="D780DBF6"/>
    <w:lvl w:ilvl="0">
      <w:start w:val="1"/>
      <w:numFmt w:val="decimal"/>
      <w:lvlText w:val="%1."/>
      <w:lvlJc w:val="left"/>
      <w:pPr>
        <w:ind w:left="453"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A4A70AB"/>
    <w:multiLevelType w:val="multilevel"/>
    <w:tmpl w:val="1EA4CD72"/>
    <w:lvl w:ilvl="0">
      <w:start w:val="1"/>
      <w:numFmt w:val="decimal"/>
      <w:lvlText w:val="%1."/>
      <w:lvlJc w:val="left"/>
      <w:pPr>
        <w:ind w:left="453"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33"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E67397F"/>
    <w:multiLevelType w:val="multilevel"/>
    <w:tmpl w:val="F77E29E2"/>
    <w:lvl w:ilvl="0">
      <w:start w:val="1"/>
      <w:numFmt w:val="bullet"/>
      <w:lvlText w:val="●"/>
      <w:lvlJc w:val="left"/>
      <w:pPr>
        <w:ind w:left="439"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FFC3C11"/>
    <w:multiLevelType w:val="multilevel"/>
    <w:tmpl w:val="225C6C40"/>
    <w:lvl w:ilvl="0">
      <w:start w:val="1"/>
      <w:numFmt w:val="decimal"/>
      <w:lvlText w:val="%1."/>
      <w:lvlJc w:val="left"/>
      <w:pPr>
        <w:ind w:left="453"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0A762D0"/>
    <w:multiLevelType w:val="multilevel"/>
    <w:tmpl w:val="3E62B782"/>
    <w:lvl w:ilvl="0">
      <w:start w:val="1"/>
      <w:numFmt w:val="bullet"/>
      <w:lvlText w:val="●"/>
      <w:lvlJc w:val="left"/>
      <w:pPr>
        <w:ind w:left="439"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509705E"/>
    <w:multiLevelType w:val="multilevel"/>
    <w:tmpl w:val="07607230"/>
    <w:lvl w:ilvl="0">
      <w:start w:val="1"/>
      <w:numFmt w:val="bullet"/>
      <w:lvlText w:val="●"/>
      <w:lvlJc w:val="left"/>
      <w:pPr>
        <w:ind w:left="439"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E87239D"/>
    <w:multiLevelType w:val="multilevel"/>
    <w:tmpl w:val="DD1E8468"/>
    <w:lvl w:ilvl="0">
      <w:start w:val="1"/>
      <w:numFmt w:val="bullet"/>
      <w:lvlText w:val="●"/>
      <w:lvlJc w:val="left"/>
      <w:pPr>
        <w:ind w:left="439"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6EF2837"/>
    <w:multiLevelType w:val="multilevel"/>
    <w:tmpl w:val="15CC7C24"/>
    <w:lvl w:ilvl="0">
      <w:start w:val="1"/>
      <w:numFmt w:val="bullet"/>
      <w:lvlText w:val="●"/>
      <w:lvlJc w:val="left"/>
      <w:pPr>
        <w:ind w:left="439"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E1A7B53"/>
    <w:multiLevelType w:val="multilevel"/>
    <w:tmpl w:val="D78830E0"/>
    <w:lvl w:ilvl="0">
      <w:start w:val="1"/>
      <w:numFmt w:val="decimal"/>
      <w:lvlText w:val="%1."/>
      <w:lvlJc w:val="left"/>
      <w:pPr>
        <w:ind w:left="453"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73870544">
    <w:abstractNumId w:val="10"/>
  </w:num>
  <w:num w:numId="2" w16cid:durableId="549153135">
    <w:abstractNumId w:val="5"/>
  </w:num>
  <w:num w:numId="3" w16cid:durableId="528639104">
    <w:abstractNumId w:val="0"/>
  </w:num>
  <w:num w:numId="4" w16cid:durableId="184877509">
    <w:abstractNumId w:val="1"/>
  </w:num>
  <w:num w:numId="5" w16cid:durableId="404373497">
    <w:abstractNumId w:val="12"/>
  </w:num>
  <w:num w:numId="6" w16cid:durableId="674766363">
    <w:abstractNumId w:val="4"/>
  </w:num>
  <w:num w:numId="7" w16cid:durableId="2077623342">
    <w:abstractNumId w:val="8"/>
  </w:num>
  <w:num w:numId="8" w16cid:durableId="6517132">
    <w:abstractNumId w:val="2"/>
  </w:num>
  <w:num w:numId="9" w16cid:durableId="1855535457">
    <w:abstractNumId w:val="11"/>
  </w:num>
  <w:num w:numId="10" w16cid:durableId="597492879">
    <w:abstractNumId w:val="6"/>
  </w:num>
  <w:num w:numId="11" w16cid:durableId="826433749">
    <w:abstractNumId w:val="9"/>
  </w:num>
  <w:num w:numId="12" w16cid:durableId="1377120077">
    <w:abstractNumId w:val="7"/>
  </w:num>
  <w:num w:numId="13" w16cid:durableId="695158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B5B"/>
    <w:rsid w:val="00484B5B"/>
    <w:rsid w:val="0053065B"/>
    <w:rsid w:val="006F7845"/>
    <w:rsid w:val="00FC2909"/>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1DFFE9"/>
  <w15:docId w15:val="{3EC6B47E-4FCD-DC41-9462-139A30EC4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Arial"/>
        <w:sz w:val="22"/>
        <w:szCs w:val="22"/>
        <w:lang w:val="en-JP"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ni.cmu.edu/~plaut/papers/pdf/SeidenbergPlaut98PsySci.item-level.pdf" TargetMode="External"/><Relationship Id="rId39" Type="http://schemas.openxmlformats.org/officeDocument/2006/relationships/hyperlink" Target="http://ccnl.psy.unipd.it/publications/publications_folder/the-connectionist-dual-process-cdp-approach-to-modelling-reading-aloud" TargetMode="External"/><Relationship Id="rId21" Type="http://schemas.openxmlformats.org/officeDocument/2006/relationships/hyperlink" Target="http://psychnet.wustl.edu/coglab/wp-content/uploads/2015/01/1997-Spieler.pdf" TargetMode="External"/><Relationship Id="rId34" Type="http://schemas.openxmlformats.org/officeDocument/2006/relationships/hyperlink" Target="https://pmc.ncbi.nlm.nih.gov/articles/PMC3278621/" TargetMode="External"/><Relationship Id="rId42" Type="http://schemas.openxmlformats.org/officeDocument/2006/relationships/hyperlink" Target="https://pmc.ncbi.nlm.nih.gov/articles/PMC6668775/" TargetMode="External"/><Relationship Id="rId47" Type="http://schemas.openxmlformats.org/officeDocument/2006/relationships/hyperlink" Target="http://psychnet.wustl.edu/coglab/wp-content/uploads/2015/01/Phonological-Blocking-2004.pdf" TargetMode="External"/><Relationship Id="rId50" Type="http://schemas.openxmlformats.org/officeDocument/2006/relationships/hyperlink" Target="https://pubmed.ncbi.nlm.nih.gov/34811640/"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pubmed.ncbi.nlm.nih.gov/23132607/" TargetMode="External"/><Relationship Id="rId11" Type="http://schemas.openxmlformats.org/officeDocument/2006/relationships/image" Target="media/image7.png"/><Relationship Id="rId24" Type="http://schemas.openxmlformats.org/officeDocument/2006/relationships/hyperlink" Target="https://www.researchgate.net/publication/5887968_The_English_Lexicon_Project" TargetMode="External"/><Relationship Id="rId32" Type="http://schemas.openxmlformats.org/officeDocument/2006/relationships/hyperlink" Target="https://www.researchgate.net/profile/Melvin-Yap/publication/5887968_The_English_Lexicon_Project/links/0fcfd50894c3cad6fb000000/The-English-Lexicon-Project.pdf" TargetMode="External"/><Relationship Id="rId37" Type="http://schemas.openxmlformats.org/officeDocument/2006/relationships/hyperlink" Target="https://www.unicog.org/publications/Ferrand%20et%20al.%20-%202018%20-%20MEGALEX%20A%20megastudy%20of%20visual%20and%20auditory%20word%20r.pdf" TargetMode="External"/><Relationship Id="rId40" Type="http://schemas.openxmlformats.org/officeDocument/2006/relationships/hyperlink" Target="https://www.biorxiv.org/content/10.1101/708156v1.full-text" TargetMode="External"/><Relationship Id="rId45" Type="http://schemas.openxmlformats.org/officeDocument/2006/relationships/hyperlink" Target="https://www.researchgate.net/publication/12438553_Factors_Influencing_Word_Naming_in_Younger_and_Older_Adults" TargetMode="External"/><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psychnet.wustl.edu/coglab/wp-content/uploads/2015/01/Megastudies-crowdsourcing-and-large-datasets-in-psycholinguistics.pdf" TargetMode="External"/><Relationship Id="rId44" Type="http://schemas.openxmlformats.org/officeDocument/2006/relationships/hyperlink" Target="https://pubmed.ncbi.nlm.nih.gov/10879577/" TargetMode="External"/><Relationship Id="rId52" Type="http://schemas.openxmlformats.org/officeDocument/2006/relationships/hyperlink" Target="https://dspace.mit.edu/bitstream/handle/1721.1/164842/eisape-eisape-phd-bcs-2025-thesis.pdf?sequence=1&amp;isAllowed=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pubmed.ncbi.nlm.nih.gov/8650300/" TargetMode="External"/><Relationship Id="rId27" Type="http://schemas.openxmlformats.org/officeDocument/2006/relationships/hyperlink" Target="https://ni.cmu.edu/~plaut/papers/abstracts/SeidenbergPlaut98PsySci.item-level.html" TargetMode="External"/><Relationship Id="rId30" Type="http://schemas.openxmlformats.org/officeDocument/2006/relationships/hyperlink" Target="https://www.frontiersin.org/journals/psychology/articles/10.3389/fpsyg.2010.00200/full" TargetMode="External"/><Relationship Id="rId35" Type="http://schemas.openxmlformats.org/officeDocument/2006/relationships/hyperlink" Target="http://psychnet.wustl.edu/coglab/wp-content/uploads/2015/01/Oxford-Pub.pdf" TargetMode="External"/><Relationship Id="rId43" Type="http://schemas.openxmlformats.org/officeDocument/2006/relationships/hyperlink" Target="https://journals.plos.org/plosone/article?id=10.1371/journal.pone.0218802" TargetMode="External"/><Relationship Id="rId48" Type="http://schemas.openxmlformats.org/officeDocument/2006/relationships/hyperlink" Target="https://www.researchgate.net/publication/51769936_Comparing_Word_Processing_Times_in_Naming_Lexical_Decision_and_Progressive_Demasking_Evidence_from_Chronolex" TargetMode="External"/><Relationship Id="rId8" Type="http://schemas.openxmlformats.org/officeDocument/2006/relationships/image" Target="media/image4.png"/><Relationship Id="rId51" Type="http://schemas.openxmlformats.org/officeDocument/2006/relationships/hyperlink" Target="https://www.researchgate.net/publication/356444020_Accounting_for_item-level_variance_in_recognition_memory_Comparing_word_frequency_and_contextual_diversity"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pubmed.ncbi.nlm.nih.gov/17958156/" TargetMode="External"/><Relationship Id="rId33" Type="http://schemas.openxmlformats.org/officeDocument/2006/relationships/hyperlink" Target="https://researchworks.creighton.edu/esploro/outputs/bookChapter/The-English-Lexicon-Project--A/991006108172402656" TargetMode="External"/><Relationship Id="rId38" Type="http://schemas.openxmlformats.org/officeDocument/2006/relationships/hyperlink" Target="https://pmc.ncbi.nlm.nih.gov/articles/PMC2886285/" TargetMode="External"/><Relationship Id="rId46" Type="http://schemas.openxmlformats.org/officeDocument/2006/relationships/hyperlink" Target="https://www.researchgate.net/publication/282424794_Factors_influencing_word_naming_in_younger_and_older_adults" TargetMode="External"/><Relationship Id="rId20" Type="http://schemas.openxmlformats.org/officeDocument/2006/relationships/hyperlink" Target="http://www.jstor.org/stable/40063226" TargetMode="External"/><Relationship Id="rId41" Type="http://schemas.openxmlformats.org/officeDocument/2006/relationships/hyperlink" Target="http://ccnl.psy.unipd.it/publications/publications_folder/nested-incremental-modeling-in-the-development-of-computational-theories-the-cdp-model-of-reading-aloud"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www.researchgate.net/publication/338611175_The_megastudy_paradigm_A_new_direction_for_behavioral_research_in_cognitive_science" TargetMode="External"/><Relationship Id="rId28" Type="http://schemas.openxmlformats.org/officeDocument/2006/relationships/hyperlink" Target="https://www.researchgate.net/publication/232969771_The_unbearable_articulatory_nature_of_naming_On_the_reliability_of_word_naming_responses_at_the_item_level" TargetMode="External"/><Relationship Id="rId36" Type="http://schemas.openxmlformats.org/officeDocument/2006/relationships/hyperlink" Target="https://pmc.ncbi.nlm.nih.gov/articles/PMC3125539/" TargetMode="External"/><Relationship Id="rId49" Type="http://schemas.openxmlformats.org/officeDocument/2006/relationships/hyperlink" Target="https://www.blackwellpublishing.com/content/bpl_images/content_store/sample_chapter/1405114886/Snowling_sample_chapter1.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7959</Words>
  <Characters>14806</Characters>
  <Application>Microsoft Office Word</Application>
  <DocSecurity>0</DocSecurity>
  <Lines>435</Lines>
  <Paragraphs>316</Paragraphs>
  <ScaleCrop>false</ScaleCrop>
  <Company/>
  <LinksUpToDate>false</LinksUpToDate>
  <CharactersWithSpaces>22449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Shinichi ASAKAWA</cp:lastModifiedBy>
  <cp:revision>2</cp:revision>
  <dcterms:created xsi:type="dcterms:W3CDTF">2026-03-28T05:55:00Z</dcterms:created>
  <dcterms:modified xsi:type="dcterms:W3CDTF">2026-03-28T05:56:00Z</dcterms:modified>
</cp:coreProperties>
</file>