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9AA8" w14:textId="470FB83B" w:rsidR="005954CD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5954CD">
        <w:rPr>
          <w:rFonts w:asciiTheme="majorEastAsia" w:eastAsiaTheme="majorEastAsia" w:hAnsiTheme="majorEastAsia" w:hint="eastAsia"/>
          <w:sz w:val="22"/>
          <w:szCs w:val="22"/>
        </w:rPr>
        <w:t>2</w:t>
      </w:r>
      <w:r w:rsidRPr="005954CD">
        <w:rPr>
          <w:rFonts w:asciiTheme="majorEastAsia" w:eastAsiaTheme="majorEastAsia" w:hAnsiTheme="majorEastAsia"/>
          <w:sz w:val="22"/>
          <w:szCs w:val="22"/>
        </w:rPr>
        <w:t xml:space="preserve">019150445 </w:t>
      </w:r>
      <w:r w:rsidRPr="005954C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신백록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</w:p>
    <w:p w14:paraId="6D60A6AF" w14:textId="2FE7744C" w:rsidR="00D55C26" w:rsidRDefault="00D55C26" w:rsidP="005954CD">
      <w:pPr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1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제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9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장의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wine data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이용하여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logistic, SVM, CART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모형을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적합하되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nested cross validation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을 적용하여 최선의 모형을 산출하라.</w:t>
      </w:r>
    </w:p>
    <w:p w14:paraId="082E19D2" w14:textId="4924D174" w:rsidR="005954CD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>Wine data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는 데이터가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178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개 밖에 없기에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다음과 같이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nested cv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에서 </w:t>
      </w:r>
      <w:proofErr w:type="spellStart"/>
      <w:r>
        <w:rPr>
          <w:rFonts w:asciiTheme="majorEastAsia" w:eastAsiaTheme="majorEastAsia" w:hAnsiTheme="majorEastAsia"/>
          <w:sz w:val="22"/>
          <w:szCs w:val="22"/>
          <w:lang w:eastAsia="ko-KR"/>
        </w:rPr>
        <w:t>inner_cv</w:t>
      </w:r>
      <w:proofErr w:type="spellEnd"/>
      <w:r>
        <w:rPr>
          <w:rFonts w:asciiTheme="majorEastAsia" w:eastAsiaTheme="majorEastAsia" w:hAnsiTheme="majorEastAsia"/>
          <w:sz w:val="22"/>
          <w:szCs w:val="22"/>
          <w:lang w:eastAsia="ko-KR"/>
        </w:rPr>
        <w:t>=10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이용하여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bias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줄였다.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L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ogistic regression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inner cv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에서는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grid search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통하여 규제 정도를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초모수로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조정하게 하였고, 약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98.3%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test acc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보였고,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0.014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std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로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outer cv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간의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acc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차이가 그리 크지 않다는 것을 알 수 있다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.</w:t>
      </w:r>
    </w:p>
    <w:p w14:paraId="03EB8B73" w14:textId="10D1E0FF" w:rsidR="005954CD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5954CD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6CEBFC73" wp14:editId="37D83311">
            <wp:extent cx="4943789" cy="1292089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377" cy="12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59EC" w14:textId="12A81018" w:rsidR="005954CD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S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VC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적용하였을 때는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inner cv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에서의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초모수를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선형인지 비선형인지,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그리고 각각에서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에러를 얼마나 허용할 것인지에 대하여 설정하였고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이에 대한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test acc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는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98.3%, std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=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0.014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로 l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ogistic regression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과 같은 결과가 나왔다.</w:t>
      </w:r>
    </w:p>
    <w:p w14:paraId="73397016" w14:textId="43A5C3BC" w:rsidR="005954CD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5954CD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382D3835" wp14:editId="2F70AE0C">
            <wp:extent cx="4943475" cy="198593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255" cy="20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D3EB" w14:textId="1623AEBC" w:rsidR="005954CD" w:rsidRPr="005954CD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>CART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적용하였을 때는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Standardization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하지 않았고,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초모수를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max depth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로 설정하였고,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역시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decision tree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한계 상 전의 모델들보다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test acc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가 떨어지고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std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는 높은 것을 알 수 있다.</w:t>
      </w:r>
    </w:p>
    <w:p w14:paraId="574D0CA6" w14:textId="71F30F7A" w:rsidR="005954CD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5954CD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lastRenderedPageBreak/>
        <w:drawing>
          <wp:inline distT="0" distB="0" distL="0" distR="0" wp14:anchorId="33A3B940" wp14:editId="01220E5B">
            <wp:extent cx="4943475" cy="1443718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868" cy="14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273D" w14:textId="065808DB" w:rsidR="005954CD" w:rsidRPr="00106708" w:rsidRDefault="005954CD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추가적으로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PCA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적용하고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SVM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을 실시하였다.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PCA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n components</w:t>
      </w:r>
      <w:proofErr w:type="spellStart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>초모수로</w:t>
      </w:r>
      <w:proofErr w:type="spellEnd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추가하였다.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PCA</w:t>
      </w:r>
      <w:proofErr w:type="spellStart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적용하지 않고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SVM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시행했을 때보다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acc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는 약간 줄어들었지만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std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는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0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>으로 수렴하는 것을 볼 수 있다.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하지만 각각의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CV score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비교해봤을 </w:t>
      </w:r>
      <w:proofErr w:type="spellStart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>떄</w:t>
      </w:r>
      <w:proofErr w:type="spellEnd"/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차원 축소를 하지 않고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SVM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실시했을 때랑 모든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CV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에서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acc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>가 같거나 뒤떨어지는 성능을 보이는 것을 볼 수 있다.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Final model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로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Logistic Regression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이나 </w:t>
      </w:r>
      <w:r w:rsidR="00106708">
        <w:rPr>
          <w:rFonts w:asciiTheme="majorEastAsia" w:eastAsiaTheme="majorEastAsia" w:hAnsiTheme="majorEastAsia"/>
          <w:sz w:val="22"/>
          <w:szCs w:val="22"/>
          <w:lang w:eastAsia="ko-KR"/>
        </w:rPr>
        <w:t>SVM</w:t>
      </w:r>
      <w:r w:rsidR="00106708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을 선택할 것이다.</w:t>
      </w:r>
    </w:p>
    <w:p w14:paraId="04DBDB9B" w14:textId="73C2F792" w:rsidR="00106708" w:rsidRDefault="00106708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106708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1603FA95" wp14:editId="398ED0CB">
            <wp:extent cx="4850780" cy="2249115"/>
            <wp:effectExtent l="0" t="0" r="63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189" cy="22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117B" w14:textId="527377DA" w:rsidR="00106708" w:rsidRPr="005954CD" w:rsidRDefault="00106708" w:rsidP="005954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106708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32C9BEC3" wp14:editId="0D645023">
            <wp:extent cx="4850765" cy="695961"/>
            <wp:effectExtent l="0" t="0" r="63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45" cy="7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708" w:rsidRPr="005954CD" w:rsidSect="005954C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CD"/>
    <w:rsid w:val="00106708"/>
    <w:rsid w:val="005954CD"/>
    <w:rsid w:val="00D5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353A"/>
  <w15:chartTrackingRefBased/>
  <w15:docId w15:val="{57645ADD-9450-574B-B37F-96CC1E03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CD"/>
  </w:style>
  <w:style w:type="paragraph" w:styleId="1">
    <w:name w:val="heading 1"/>
    <w:basedOn w:val="a"/>
    <w:next w:val="a"/>
    <w:link w:val="1Char"/>
    <w:uiPriority w:val="9"/>
    <w:qFormat/>
    <w:rsid w:val="005954C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54C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54C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54C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54C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54C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54C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4C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4C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54CD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54CD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54CD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54CD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5954CD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5954CD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5954CD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954CD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5954CD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954CD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954C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5954CD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954C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5"/>
    <w:uiPriority w:val="11"/>
    <w:rsid w:val="005954CD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954CD"/>
    <w:rPr>
      <w:b/>
      <w:color w:val="ED7D31" w:themeColor="accent2"/>
    </w:rPr>
  </w:style>
  <w:style w:type="character" w:styleId="a7">
    <w:name w:val="Emphasis"/>
    <w:uiPriority w:val="20"/>
    <w:qFormat/>
    <w:rsid w:val="005954CD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954CD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5954CD"/>
  </w:style>
  <w:style w:type="paragraph" w:styleId="a9">
    <w:name w:val="List Paragraph"/>
    <w:basedOn w:val="a"/>
    <w:uiPriority w:val="34"/>
    <w:qFormat/>
    <w:rsid w:val="005954C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954CD"/>
    <w:rPr>
      <w:i/>
    </w:rPr>
  </w:style>
  <w:style w:type="character" w:customStyle="1" w:styleId="Char2">
    <w:name w:val="인용 Char"/>
    <w:basedOn w:val="a0"/>
    <w:link w:val="aa"/>
    <w:uiPriority w:val="29"/>
    <w:rsid w:val="005954CD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954C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b"/>
    <w:uiPriority w:val="30"/>
    <w:rsid w:val="005954CD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5954CD"/>
    <w:rPr>
      <w:i/>
    </w:rPr>
  </w:style>
  <w:style w:type="character" w:styleId="ad">
    <w:name w:val="Intense Emphasis"/>
    <w:uiPriority w:val="21"/>
    <w:qFormat/>
    <w:rsid w:val="005954CD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5954CD"/>
    <w:rPr>
      <w:b/>
    </w:rPr>
  </w:style>
  <w:style w:type="character" w:styleId="af">
    <w:name w:val="Intense Reference"/>
    <w:uiPriority w:val="32"/>
    <w:qFormat/>
    <w:rsid w:val="005954CD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954C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954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2</cp:revision>
  <dcterms:created xsi:type="dcterms:W3CDTF">2021-10-27T21:20:00Z</dcterms:created>
  <dcterms:modified xsi:type="dcterms:W3CDTF">2022-03-16T11:52:00Z</dcterms:modified>
</cp:coreProperties>
</file>