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2584"/>
        <w:gridCol w:w="2584"/>
        <w:gridCol w:w="2584"/>
        <w:gridCol w:w="2584"/>
        <w:gridCol w:w="2584"/>
      </w:tblGrid>
      <w:tr w:rsidR="00DE14B8" w:rsidRPr="00D0661B" w:rsidTr="00DE14B8">
        <w:trPr>
          <w:trHeight w:val="1020"/>
        </w:trPr>
        <w:tc>
          <w:tcPr>
            <w:tcW w:w="2584" w:type="dxa"/>
          </w:tcPr>
          <w:p w:rsidR="00DE14B8" w:rsidRPr="00D0661B" w:rsidRDefault="00DE14B8" w:rsidP="00DE14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/>
            </w:r>
            <w:r w:rsidRPr="00D0661B"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HYPERLINK "https://www.edutopia.org/article/how-jigsaw-method-revisited" </w:instrText>
            </w:r>
            <w:r w:rsidRPr="00D0661B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separate"/>
            </w:r>
            <w:r w:rsidRPr="00D0661B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>Jig Jaw Method</w:t>
            </w:r>
            <w:r w:rsidRPr="00D0661B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</w:p>
          <w:p w:rsidR="00DE14B8" w:rsidRPr="00D0661B" w:rsidRDefault="00A84B9F" w:rsidP="00A84B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An </w:t>
            </w:r>
            <w:r w:rsidR="00DE14B8" w:rsidRPr="00D0661B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instructional strategy </w:t>
            </w:r>
            <w:r w:rsidRPr="00D0661B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that works </w:t>
            </w:r>
            <w:r w:rsidR="00DE14B8" w:rsidRPr="00D0661B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across all four of the crucial “learning quadrants,” moving children from “acquiring learning” through “consolidating deep learning.” </w:t>
            </w:r>
          </w:p>
        </w:tc>
        <w:tc>
          <w:tcPr>
            <w:tcW w:w="2584" w:type="dxa"/>
          </w:tcPr>
          <w:p w:rsidR="00DE14B8" w:rsidRPr="00D0661B" w:rsidRDefault="00D45832" w:rsidP="00D42C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6" w:history="1">
              <w:r w:rsidR="00D42CB9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60-second Strategy for Math Story Problems</w:t>
              </w:r>
            </w:hyperlink>
          </w:p>
          <w:p w:rsidR="00D42CB9" w:rsidRPr="00D0661B" w:rsidRDefault="00D42CB9" w:rsidP="00D42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Demystify math word problems with this simple technique that helps kids see the story beyond the numbers.</w:t>
            </w:r>
          </w:p>
        </w:tc>
        <w:tc>
          <w:tcPr>
            <w:tcW w:w="2584" w:type="dxa"/>
          </w:tcPr>
          <w:p w:rsidR="00DE14B8" w:rsidRPr="00D0661B" w:rsidRDefault="00D45832" w:rsidP="00D42C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7" w:history="1">
              <w:r w:rsidR="00D42CB9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60-second Strategy: TAG Feedback</w:t>
              </w:r>
            </w:hyperlink>
          </w:p>
          <w:p w:rsidR="00D42CB9" w:rsidRPr="00D0661B" w:rsidRDefault="00D42CB9" w:rsidP="00D42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Teaching critical thinking through  giving and receiving feedback.</w:t>
            </w:r>
          </w:p>
        </w:tc>
        <w:tc>
          <w:tcPr>
            <w:tcW w:w="2584" w:type="dxa"/>
          </w:tcPr>
          <w:p w:rsidR="00DE14B8" w:rsidRPr="00D0661B" w:rsidRDefault="00D45832" w:rsidP="006202D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8" w:history="1">
              <w:r w:rsidR="006202D4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The Golden Rules for Student Engagement</w:t>
              </w:r>
            </w:hyperlink>
          </w:p>
          <w:p w:rsidR="006202D4" w:rsidRPr="00D0661B" w:rsidRDefault="009043A0" w:rsidP="00DE14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Teachers should consider</w:t>
            </w:r>
            <w:r w:rsidR="006202D4" w:rsidRPr="00D0661B">
              <w:rPr>
                <w:rFonts w:asciiTheme="majorHAnsi" w:hAnsiTheme="majorHAnsi" w:cstheme="majorHAnsi"/>
                <w:sz w:val="24"/>
                <w:szCs w:val="24"/>
              </w:rPr>
              <w:t xml:space="preserve"> the following interrelated elements when designing and implementing learning acti</w:t>
            </w:r>
            <w:bookmarkStart w:id="0" w:name="_GoBack"/>
            <w:bookmarkEnd w:id="0"/>
            <w:r w:rsidR="006202D4" w:rsidRPr="00D0661B">
              <w:rPr>
                <w:rFonts w:asciiTheme="majorHAnsi" w:hAnsiTheme="majorHAnsi" w:cstheme="majorHAnsi"/>
                <w:sz w:val="24"/>
                <w:szCs w:val="24"/>
              </w:rPr>
              <w:t>vities.</w:t>
            </w:r>
          </w:p>
        </w:tc>
        <w:tc>
          <w:tcPr>
            <w:tcW w:w="2584" w:type="dxa"/>
          </w:tcPr>
          <w:p w:rsidR="00DE14B8" w:rsidRPr="00D0661B" w:rsidRDefault="00D45832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9" w:history="1">
              <w:r w:rsidR="00CA5C85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Questioning that Deepens Comprehension</w:t>
              </w:r>
            </w:hyperlink>
            <w:r w:rsidR="00CA5C85" w:rsidRPr="00D0661B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CA5C85" w:rsidRPr="00D0661B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Scaffold students’ thinking about complex texts by asking what the text says, how it works, what it means, and what it inspires them to do.</w:t>
            </w:r>
          </w:p>
          <w:p w:rsidR="00CA5C85" w:rsidRPr="00D0661B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E14B8" w:rsidRPr="00D0661B" w:rsidTr="00DE14B8">
        <w:trPr>
          <w:trHeight w:val="963"/>
        </w:trPr>
        <w:tc>
          <w:tcPr>
            <w:tcW w:w="2584" w:type="dxa"/>
          </w:tcPr>
          <w:p w:rsidR="00DE14B8" w:rsidRPr="00D0661B" w:rsidRDefault="00D45832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0" w:history="1">
              <w:r w:rsidR="00CA5C85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How to Generate Effective Questions</w:t>
              </w:r>
            </w:hyperlink>
          </w:p>
          <w:p w:rsidR="00CA5C85" w:rsidRPr="00D0661B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Four ways to come up with questions that guide students to engage deeply with class content.</w:t>
            </w:r>
          </w:p>
        </w:tc>
        <w:tc>
          <w:tcPr>
            <w:tcW w:w="2584" w:type="dxa"/>
          </w:tcPr>
          <w:p w:rsidR="00DE14B8" w:rsidRPr="00D0661B" w:rsidRDefault="00D45832" w:rsidP="00DE14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1" w:history="1">
              <w:r w:rsidR="00DE14B8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Closure Activities</w:t>
              </w:r>
            </w:hyperlink>
          </w:p>
          <w:p w:rsidR="00DE14B8" w:rsidRPr="00D0661B" w:rsidRDefault="00DE14B8" w:rsidP="00DE14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Closure is the activity that ends a lesson and creates a lasting impression</w:t>
            </w:r>
            <w:r w:rsidR="006202D4" w:rsidRPr="00D0661B">
              <w:rPr>
                <w:rFonts w:asciiTheme="majorHAnsi" w:hAnsiTheme="majorHAnsi" w:cstheme="majorHAnsi"/>
                <w:sz w:val="24"/>
                <w:szCs w:val="24"/>
              </w:rPr>
              <w:t xml:space="preserve">- here are </w:t>
            </w: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22 activities</w:t>
            </w:r>
            <w:r w:rsidR="006202D4" w:rsidRPr="00D0661B">
              <w:rPr>
                <w:rFonts w:asciiTheme="majorHAnsi" w:hAnsiTheme="majorHAnsi" w:cstheme="majorHAnsi"/>
                <w:sz w:val="24"/>
                <w:szCs w:val="24"/>
              </w:rPr>
              <w:t xml:space="preserve"> that you can use today.</w:t>
            </w:r>
          </w:p>
        </w:tc>
        <w:tc>
          <w:tcPr>
            <w:tcW w:w="2584" w:type="dxa"/>
          </w:tcPr>
          <w:p w:rsidR="00DE14B8" w:rsidRPr="00D0661B" w:rsidRDefault="00D45832" w:rsidP="00A84B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2" w:history="1">
              <w:r w:rsidR="00A84B9F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7 Real-World Math Strategies</w:t>
              </w:r>
            </w:hyperlink>
          </w:p>
          <w:p w:rsidR="00A84B9F" w:rsidRPr="00D0661B" w:rsidRDefault="00A84B9F" w:rsidP="00A84B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Strategies to teach math that link learning to real-world experiences- increases engagement and learning.</w:t>
            </w:r>
          </w:p>
        </w:tc>
        <w:tc>
          <w:tcPr>
            <w:tcW w:w="2584" w:type="dxa"/>
          </w:tcPr>
          <w:p w:rsidR="00DE14B8" w:rsidRPr="00D0661B" w:rsidRDefault="00D45832" w:rsidP="00D42C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3" w:history="1">
              <w:r w:rsidR="00D42CB9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Establishing a Culture of Questioning</w:t>
              </w:r>
            </w:hyperlink>
          </w:p>
          <w:p w:rsidR="00D42CB9" w:rsidRPr="00D0661B" w:rsidRDefault="00D42CB9" w:rsidP="00D42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When students consistently ask meaningful questions, they get comfortable taking the risks that lead to learning.</w:t>
            </w:r>
          </w:p>
        </w:tc>
        <w:tc>
          <w:tcPr>
            <w:tcW w:w="2584" w:type="dxa"/>
          </w:tcPr>
          <w:p w:rsidR="00DE14B8" w:rsidRPr="00D0661B" w:rsidRDefault="00D45832" w:rsidP="006202D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4" w:history="1">
              <w:r w:rsidR="006202D4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Deeper Learning through Collaboration</w:t>
              </w:r>
            </w:hyperlink>
          </w:p>
          <w:p w:rsidR="006202D4" w:rsidRPr="00D0661B" w:rsidRDefault="006202D4" w:rsidP="006202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Teach students how to listen and ask good questions with these exercises designed to scaffold deep, meaningful collaboration.</w:t>
            </w:r>
          </w:p>
          <w:p w:rsidR="00CA5C85" w:rsidRPr="00D0661B" w:rsidRDefault="00CA5C85" w:rsidP="006202D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E14B8" w:rsidRPr="00D0661B" w:rsidTr="00DE14B8">
        <w:trPr>
          <w:trHeight w:val="1020"/>
        </w:trPr>
        <w:tc>
          <w:tcPr>
            <w:tcW w:w="2584" w:type="dxa"/>
          </w:tcPr>
          <w:p w:rsidR="00DE14B8" w:rsidRPr="00D0661B" w:rsidRDefault="00D45832" w:rsidP="00D42C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5" w:history="1">
              <w:r w:rsidR="00D42CB9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Learning Math by Seeing It as a Story</w:t>
              </w:r>
            </w:hyperlink>
          </w:p>
          <w:p w:rsidR="00D42CB9" w:rsidRPr="00D0661B" w:rsidRDefault="00D42CB9" w:rsidP="00D42CB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42CB9" w:rsidRPr="00D0661B" w:rsidRDefault="00D42CB9" w:rsidP="00D42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A deeper learning option.</w:t>
            </w:r>
          </w:p>
        </w:tc>
        <w:tc>
          <w:tcPr>
            <w:tcW w:w="2584" w:type="dxa"/>
          </w:tcPr>
          <w:p w:rsidR="00DE14B8" w:rsidRPr="00D0661B" w:rsidRDefault="00D45832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6" w:history="1">
              <w:r w:rsidR="00CA5C85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Wait Time</w:t>
              </w:r>
            </w:hyperlink>
          </w:p>
          <w:p w:rsidR="00CA5C85" w:rsidRPr="00D0661B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Giving students several seconds to think after asking a question—and up to two minutes for some questions—improves their learning.</w:t>
            </w:r>
          </w:p>
          <w:p w:rsidR="00CA5C85" w:rsidRPr="00D0661B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4" w:type="dxa"/>
          </w:tcPr>
          <w:p w:rsidR="00DE14B8" w:rsidRPr="00D0661B" w:rsidRDefault="00D45832" w:rsidP="006202D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7" w:history="1">
              <w:r w:rsidR="006202D4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Getting All Students to Participate</w:t>
              </w:r>
            </w:hyperlink>
          </w:p>
          <w:p w:rsidR="006202D4" w:rsidRPr="00D0661B" w:rsidRDefault="006202D4" w:rsidP="006202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Scaffolded</w:t>
            </w:r>
            <w:proofErr w:type="spellEnd"/>
            <w:r w:rsidRPr="00D0661B">
              <w:rPr>
                <w:rFonts w:asciiTheme="majorHAnsi" w:hAnsiTheme="majorHAnsi" w:cstheme="majorHAnsi"/>
                <w:sz w:val="24"/>
                <w:szCs w:val="24"/>
              </w:rPr>
              <w:t xml:space="preserve"> group work can be more equitable for all students, no matter their abilities.</w:t>
            </w:r>
          </w:p>
        </w:tc>
        <w:tc>
          <w:tcPr>
            <w:tcW w:w="2584" w:type="dxa"/>
          </w:tcPr>
          <w:p w:rsidR="00DE14B8" w:rsidRPr="00D0661B" w:rsidRDefault="00D45832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8" w:history="1">
              <w:r w:rsidR="00CA5C85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Teaching Literary Analysis</w:t>
              </w:r>
            </w:hyperlink>
          </w:p>
          <w:p w:rsidR="00CA5C85" w:rsidRPr="00D0661B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Guide students through the five steps of understanding and writing literary analysis.</w:t>
            </w:r>
          </w:p>
        </w:tc>
        <w:tc>
          <w:tcPr>
            <w:tcW w:w="2584" w:type="dxa"/>
          </w:tcPr>
          <w:p w:rsidR="00DE14B8" w:rsidRPr="00D0661B" w:rsidRDefault="00D45832" w:rsidP="00D42C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9" w:history="1">
              <w:r w:rsidR="00D42CB9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Resources and Downloads to Teach Critical Thinking</w:t>
              </w:r>
            </w:hyperlink>
          </w:p>
          <w:p w:rsidR="00623F95" w:rsidRPr="00D0661B" w:rsidRDefault="00623F95" w:rsidP="00623F9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Lesson plans, tools and templates to teach critical thinking from KIPP teachers.</w:t>
            </w:r>
          </w:p>
        </w:tc>
      </w:tr>
      <w:tr w:rsidR="00DE14B8" w:rsidRPr="00D0661B" w:rsidTr="00DE14B8">
        <w:trPr>
          <w:trHeight w:val="963"/>
        </w:trPr>
        <w:tc>
          <w:tcPr>
            <w:tcW w:w="2584" w:type="dxa"/>
          </w:tcPr>
          <w:p w:rsidR="00DE14B8" w:rsidRPr="00D0661B" w:rsidRDefault="00D45832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0" w:history="1">
              <w:r w:rsidR="00CA5C85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Resources and Downloads to Support Inquiry-Based Learning</w:t>
              </w:r>
            </w:hyperlink>
          </w:p>
          <w:p w:rsidR="00CA5C85" w:rsidRPr="00D0661B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Find information, strategies, protocols, and tools to promote curiosity and engage students in asking questions, thinking critically, and solving problems.</w:t>
            </w:r>
          </w:p>
          <w:p w:rsidR="003C75BE" w:rsidRPr="00D0661B" w:rsidRDefault="003C75BE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4" w:type="dxa"/>
          </w:tcPr>
          <w:p w:rsidR="00DE14B8" w:rsidRPr="00D0661B" w:rsidRDefault="00D45832" w:rsidP="003C75B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1" w:history="1">
              <w:r w:rsidR="003C75B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Reading Aloud to Middle School Students</w:t>
              </w:r>
            </w:hyperlink>
          </w:p>
          <w:p w:rsidR="003C75BE" w:rsidRPr="00D0661B" w:rsidRDefault="003C75BE" w:rsidP="003C75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Hearing books read aloud benefits older students, enhancing language arts instruction and building a community of readers.</w:t>
            </w:r>
          </w:p>
        </w:tc>
        <w:tc>
          <w:tcPr>
            <w:tcW w:w="2584" w:type="dxa"/>
          </w:tcPr>
          <w:p w:rsidR="00DE14B8" w:rsidRPr="00D0661B" w:rsidRDefault="00D45832" w:rsidP="003C75B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2" w:history="1">
              <w:r w:rsidR="003C75B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Teaching Students to Paraphrase</w:t>
              </w:r>
            </w:hyperlink>
          </w:p>
          <w:p w:rsidR="003C75BE" w:rsidRPr="00D0661B" w:rsidRDefault="003C75BE" w:rsidP="003C75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Ideas for scaffolding paraphrasing so that students correctly learn this valuable but difficult-to-master skill.</w:t>
            </w:r>
          </w:p>
        </w:tc>
        <w:tc>
          <w:tcPr>
            <w:tcW w:w="2584" w:type="dxa"/>
          </w:tcPr>
          <w:p w:rsidR="00DE14B8" w:rsidRPr="00D0661B" w:rsidRDefault="00D45832" w:rsidP="003C75B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3" w:history="1">
              <w:r w:rsidR="003C75B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Diverse Book Choices</w:t>
              </w:r>
            </w:hyperlink>
          </w:p>
          <w:p w:rsidR="003C75BE" w:rsidRPr="00D0661B" w:rsidRDefault="003C75BE" w:rsidP="003C75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Suggestions for teachers who are working to offer students at every grade level book choices that represent their lives.</w:t>
            </w:r>
          </w:p>
        </w:tc>
        <w:tc>
          <w:tcPr>
            <w:tcW w:w="2584" w:type="dxa"/>
          </w:tcPr>
          <w:p w:rsidR="00DE14B8" w:rsidRPr="00D0661B" w:rsidRDefault="00D45832" w:rsidP="003C75B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4" w:history="1">
              <w:r w:rsidR="003C75B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11 Alternatives to “Pop Corn” or “Round Robin” Reading</w:t>
              </w:r>
            </w:hyperlink>
          </w:p>
          <w:p w:rsidR="003C75BE" w:rsidRPr="00D0661B" w:rsidRDefault="003C75BE" w:rsidP="00D0661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Despite overwhelming criticism that the practice is in</w:t>
            </w:r>
            <w:r w:rsidR="00D0661B">
              <w:rPr>
                <w:rFonts w:asciiTheme="majorHAnsi" w:hAnsiTheme="majorHAnsi" w:cstheme="majorHAnsi"/>
                <w:sz w:val="24"/>
                <w:szCs w:val="24"/>
              </w:rPr>
              <w:t>effective for its stated purpose</w:t>
            </w: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7707F" w:rsidRPr="00D0661B">
              <w:rPr>
                <w:rFonts w:asciiTheme="majorHAnsi" w:hAnsiTheme="majorHAnsi" w:cstheme="majorHAnsi"/>
                <w:sz w:val="24"/>
                <w:szCs w:val="24"/>
              </w:rPr>
              <w:t>teachers are still using it</w:t>
            </w: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D7707F" w:rsidRPr="00D0661B">
              <w:rPr>
                <w:rFonts w:asciiTheme="majorHAnsi" w:hAnsiTheme="majorHAnsi" w:cstheme="majorHAnsi"/>
                <w:sz w:val="24"/>
                <w:szCs w:val="24"/>
              </w:rPr>
              <w:t xml:space="preserve"> Here are some alternatives.</w:t>
            </w:r>
          </w:p>
        </w:tc>
      </w:tr>
      <w:tr w:rsidR="00DE14B8" w:rsidRPr="00D0661B" w:rsidTr="00DE14B8">
        <w:trPr>
          <w:trHeight w:val="1020"/>
        </w:trPr>
        <w:tc>
          <w:tcPr>
            <w:tcW w:w="2584" w:type="dxa"/>
          </w:tcPr>
          <w:p w:rsidR="00DE14B8" w:rsidRPr="00D0661B" w:rsidRDefault="00D45832" w:rsidP="00D7707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5" w:history="1">
              <w:r w:rsidR="00D7707F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Critical Literacy in the Early Grades</w:t>
              </w:r>
            </w:hyperlink>
          </w:p>
          <w:p w:rsidR="00D7707F" w:rsidRPr="00D0661B" w:rsidRDefault="00D7707F" w:rsidP="00D7707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Using a form of literary criticism in tandem with drama activities helps young students think deeply about how stories are constructed.</w:t>
            </w:r>
          </w:p>
          <w:p w:rsidR="00D7707F" w:rsidRPr="00D0661B" w:rsidRDefault="00D7707F" w:rsidP="00D7707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4" w:type="dxa"/>
          </w:tcPr>
          <w:p w:rsidR="00DE14B8" w:rsidRPr="00D0661B" w:rsidRDefault="00D45832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6" w:history="1">
              <w:r w:rsidR="00CA5C85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What is Inquiry-Based Learning?</w:t>
              </w:r>
            </w:hyperlink>
          </w:p>
          <w:p w:rsidR="00CA5C85" w:rsidRPr="00D0661B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A four-step approach to using a powerful model that increases student agency in learning.</w:t>
            </w:r>
          </w:p>
        </w:tc>
        <w:tc>
          <w:tcPr>
            <w:tcW w:w="2584" w:type="dxa"/>
          </w:tcPr>
          <w:p w:rsidR="00690475" w:rsidRPr="00D0661B" w:rsidRDefault="00690475" w:rsidP="006904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90475" w:rsidRPr="00D0661B" w:rsidRDefault="00690475" w:rsidP="006904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90475" w:rsidRPr="00D0661B" w:rsidRDefault="00690475" w:rsidP="006904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3C75BE" w:rsidRPr="00D0661B" w:rsidRDefault="00D45832" w:rsidP="006904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hyperlink r:id="rId27" w:history="1">
              <w:r w:rsidR="00690475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I’m Looking for Something Else!</w:t>
              </w:r>
            </w:hyperlink>
          </w:p>
        </w:tc>
        <w:tc>
          <w:tcPr>
            <w:tcW w:w="2584" w:type="dxa"/>
          </w:tcPr>
          <w:p w:rsidR="00DE14B8" w:rsidRPr="00D0661B" w:rsidRDefault="00D45832" w:rsidP="00F12E7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8" w:history="1">
              <w:r w:rsidR="00F12E7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Easy Ways to Bring Assistive Technology Into Your Classroom</w:t>
              </w:r>
            </w:hyperlink>
          </w:p>
          <w:p w:rsidR="00F12E7E" w:rsidRPr="00D0661B" w:rsidRDefault="00F12E7E" w:rsidP="00F12E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Free or low-cost tools can help all students—with and without learning differences—better access course content.</w:t>
            </w:r>
          </w:p>
          <w:p w:rsidR="00F12E7E" w:rsidRPr="00D0661B" w:rsidRDefault="00F12E7E" w:rsidP="00F12E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4" w:type="dxa"/>
          </w:tcPr>
          <w:p w:rsidR="00DE14B8" w:rsidRPr="00D0661B" w:rsidRDefault="00D45832" w:rsidP="006822A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9" w:history="1">
              <w:r w:rsidR="006822A0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Accommodating Students with Dyslexia</w:t>
              </w:r>
            </w:hyperlink>
          </w:p>
          <w:p w:rsidR="006822A0" w:rsidRPr="00D0661B" w:rsidRDefault="006822A0" w:rsidP="006822A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These five easy-to-implement accommodations can make class less stressful and more manageable for students with dyslexia.</w:t>
            </w:r>
          </w:p>
        </w:tc>
      </w:tr>
      <w:tr w:rsidR="00DE14B8" w:rsidRPr="00D0661B" w:rsidTr="00DE14B8">
        <w:trPr>
          <w:trHeight w:val="963"/>
        </w:trPr>
        <w:tc>
          <w:tcPr>
            <w:tcW w:w="2584" w:type="dxa"/>
          </w:tcPr>
          <w:p w:rsidR="00DE14B8" w:rsidRPr="00D0661B" w:rsidRDefault="00D45832" w:rsidP="003C75B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0" w:history="1">
              <w:r w:rsidR="003C75B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Collaborative Reading</w:t>
              </w:r>
            </w:hyperlink>
          </w:p>
          <w:p w:rsidR="003C75BE" w:rsidRPr="00D0661B" w:rsidRDefault="003C75BE" w:rsidP="003C75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Strategy to improve lit</w:t>
            </w:r>
            <w:r w:rsidR="00690475" w:rsidRPr="00D0661B">
              <w:rPr>
                <w:rFonts w:asciiTheme="majorHAnsi" w:hAnsiTheme="majorHAnsi" w:cstheme="majorHAnsi"/>
                <w:sz w:val="24"/>
                <w:szCs w:val="24"/>
              </w:rPr>
              <w:t>eracy by building successful rea</w:t>
            </w: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ders.</w:t>
            </w:r>
          </w:p>
        </w:tc>
        <w:tc>
          <w:tcPr>
            <w:tcW w:w="2584" w:type="dxa"/>
          </w:tcPr>
          <w:p w:rsidR="00DE14B8" w:rsidRPr="00D0661B" w:rsidRDefault="00D45832" w:rsidP="00F12E7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1" w:history="1">
              <w:r w:rsidR="00F12E7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Ensuring Instruction Is Inclusive for All Learners</w:t>
              </w:r>
            </w:hyperlink>
          </w:p>
          <w:p w:rsidR="00F12E7E" w:rsidRPr="00D0661B" w:rsidRDefault="00F12E7E" w:rsidP="00F12E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Using ideas from Universal Design for Learning to support all students, including those with learning disabilities.</w:t>
            </w:r>
          </w:p>
        </w:tc>
        <w:tc>
          <w:tcPr>
            <w:tcW w:w="2584" w:type="dxa"/>
          </w:tcPr>
          <w:p w:rsidR="00DE14B8" w:rsidRPr="00D0661B" w:rsidRDefault="00D45832" w:rsidP="006822A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2" w:history="1">
              <w:r w:rsidR="006822A0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Assistive Technology Resources</w:t>
              </w:r>
            </w:hyperlink>
          </w:p>
          <w:p w:rsidR="006822A0" w:rsidRPr="00D0661B" w:rsidRDefault="006822A0" w:rsidP="006822A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Discover websites, blog posts, articles, and videos related to understanding, selecting, and assessing assistive technology.</w:t>
            </w:r>
          </w:p>
        </w:tc>
        <w:tc>
          <w:tcPr>
            <w:tcW w:w="2584" w:type="dxa"/>
          </w:tcPr>
          <w:p w:rsidR="00DE14B8" w:rsidRPr="00D0661B" w:rsidRDefault="00D45832" w:rsidP="003C75B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3" w:history="1">
              <w:r w:rsidR="003C75BE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Literacy Strategies We Should Abandon</w:t>
              </w:r>
            </w:hyperlink>
          </w:p>
          <w:p w:rsidR="003C75BE" w:rsidRPr="00D0661B" w:rsidRDefault="003C75BE" w:rsidP="003C75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Here are five common literacy practices in U.S. schools that research suggests are not optimal use of instructional time.</w:t>
            </w:r>
          </w:p>
          <w:p w:rsidR="003C75BE" w:rsidRPr="00D0661B" w:rsidRDefault="003C75BE" w:rsidP="003C75B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4" w:type="dxa"/>
          </w:tcPr>
          <w:p w:rsidR="00DE14B8" w:rsidRPr="00D0661B" w:rsidRDefault="00D45832" w:rsidP="00D7707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4" w:history="1">
              <w:r w:rsidR="00D7707F" w:rsidRPr="00D0661B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Student Engagement: 4 Ways to Get Students Moving In Class</w:t>
              </w:r>
            </w:hyperlink>
          </w:p>
          <w:p w:rsidR="00D7707F" w:rsidRPr="00D0661B" w:rsidRDefault="00D7707F" w:rsidP="00D7707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0661B">
              <w:rPr>
                <w:rFonts w:asciiTheme="majorHAnsi" w:hAnsiTheme="majorHAnsi" w:cstheme="majorHAnsi"/>
                <w:sz w:val="24"/>
                <w:szCs w:val="24"/>
              </w:rPr>
              <w:t>Build students’ sense of engagement by incorporating activities that get them out of their seats to work with course content.</w:t>
            </w:r>
          </w:p>
        </w:tc>
      </w:tr>
    </w:tbl>
    <w:p w:rsidR="00D12914" w:rsidRPr="00690475" w:rsidRDefault="00D12914" w:rsidP="00690475">
      <w:pPr>
        <w:tabs>
          <w:tab w:val="left" w:pos="1935"/>
        </w:tabs>
        <w:rPr>
          <w:sz w:val="36"/>
          <w:szCs w:val="36"/>
        </w:rPr>
      </w:pPr>
    </w:p>
    <w:sectPr w:rsidR="00D12914" w:rsidRPr="00690475" w:rsidSect="00DE14B8">
      <w:headerReference w:type="default" r:id="rId3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832" w:rsidRDefault="00D45832" w:rsidP="00D0661B">
      <w:pPr>
        <w:spacing w:after="0" w:line="240" w:lineRule="auto"/>
      </w:pPr>
      <w:r>
        <w:separator/>
      </w:r>
    </w:p>
  </w:endnote>
  <w:endnote w:type="continuationSeparator" w:id="0">
    <w:p w:rsidR="00D45832" w:rsidRDefault="00D45832" w:rsidP="00D0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832" w:rsidRDefault="00D45832" w:rsidP="00D0661B">
      <w:pPr>
        <w:spacing w:after="0" w:line="240" w:lineRule="auto"/>
      </w:pPr>
      <w:r>
        <w:separator/>
      </w:r>
    </w:p>
  </w:footnote>
  <w:footnote w:type="continuationSeparator" w:id="0">
    <w:p w:rsidR="00D45832" w:rsidRDefault="00D45832" w:rsidP="00D0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61B" w:rsidRPr="00D0661B" w:rsidRDefault="00D0661B" w:rsidP="00D0661B">
    <w:pPr>
      <w:pStyle w:val="Header"/>
      <w:jc w:val="center"/>
      <w:rPr>
        <w:b/>
        <w:sz w:val="32"/>
        <w:szCs w:val="32"/>
      </w:rPr>
    </w:pPr>
    <w:r w:rsidRPr="00D0661B">
      <w:rPr>
        <w:b/>
        <w:sz w:val="32"/>
        <w:szCs w:val="32"/>
      </w:rPr>
      <w:t xml:space="preserve">K-8 Instructional Strategies Highlighted on </w:t>
    </w:r>
    <w:proofErr w:type="spellStart"/>
    <w:r w:rsidRPr="00D0661B">
      <w:rPr>
        <w:b/>
        <w:sz w:val="32"/>
        <w:szCs w:val="32"/>
      </w:rPr>
      <w:t>Edutopia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B8"/>
    <w:rsid w:val="00392DEB"/>
    <w:rsid w:val="003C75BE"/>
    <w:rsid w:val="003E1006"/>
    <w:rsid w:val="004D4C0F"/>
    <w:rsid w:val="006202D4"/>
    <w:rsid w:val="00623F95"/>
    <w:rsid w:val="006822A0"/>
    <w:rsid w:val="00690475"/>
    <w:rsid w:val="009043A0"/>
    <w:rsid w:val="00A84B9F"/>
    <w:rsid w:val="00CA5C85"/>
    <w:rsid w:val="00D0661B"/>
    <w:rsid w:val="00D12914"/>
    <w:rsid w:val="00D42CB9"/>
    <w:rsid w:val="00D45832"/>
    <w:rsid w:val="00D7707F"/>
    <w:rsid w:val="00DE14B8"/>
    <w:rsid w:val="00F1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B54B"/>
  <w15:chartTrackingRefBased/>
  <w15:docId w15:val="{1FA636AB-4C71-4F89-B94E-113A8550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4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F9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1B"/>
  </w:style>
  <w:style w:type="paragraph" w:styleId="Footer">
    <w:name w:val="footer"/>
    <w:basedOn w:val="Normal"/>
    <w:link w:val="FooterChar"/>
    <w:uiPriority w:val="99"/>
    <w:unhideWhenUsed/>
    <w:rsid w:val="00D0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topia.org/article/establishing-culture-questioning" TargetMode="External"/><Relationship Id="rId18" Type="http://schemas.openxmlformats.org/officeDocument/2006/relationships/hyperlink" Target="https://www.edutopia.org/blog/reaching-literary-analysis-rusul-alrubail" TargetMode="External"/><Relationship Id="rId26" Type="http://schemas.openxmlformats.org/officeDocument/2006/relationships/hyperlink" Target="https://www.edutopia.org/article/bringing-inquiry-based-learning-into-your-class-trevor-mackenzie" TargetMode="External"/><Relationship Id="rId39" Type="http://schemas.openxmlformats.org/officeDocument/2006/relationships/customXml" Target="../customXml/item2.xml"/><Relationship Id="rId21" Type="http://schemas.openxmlformats.org/officeDocument/2006/relationships/hyperlink" Target="https://www.edutopia.org/article/reading-aloud-middle-school-students" TargetMode="External"/><Relationship Id="rId34" Type="http://schemas.openxmlformats.org/officeDocument/2006/relationships/hyperlink" Target="https://www.edutopia.org/article/4-ways-get-students-moving-class" TargetMode="External"/><Relationship Id="rId7" Type="http://schemas.openxmlformats.org/officeDocument/2006/relationships/hyperlink" Target="https://www.edutopia.org/video/60-second-strategy-tag-feedback" TargetMode="External"/><Relationship Id="rId12" Type="http://schemas.openxmlformats.org/officeDocument/2006/relationships/hyperlink" Target="https://www.edutopia.org/article/7-real-world-math-strategies" TargetMode="External"/><Relationship Id="rId17" Type="http://schemas.openxmlformats.org/officeDocument/2006/relationships/hyperlink" Target="https://youtu.be/8KgewbfWQS8" TargetMode="External"/><Relationship Id="rId25" Type="http://schemas.openxmlformats.org/officeDocument/2006/relationships/hyperlink" Target="https://www.edutopia.org/article/critical-literacy-early-elementary-grades" TargetMode="External"/><Relationship Id="rId33" Type="http://schemas.openxmlformats.org/officeDocument/2006/relationships/hyperlink" Target="https://www.edutopia.org/blog/literacy-practices-we-should-abandon-nell-k-duke" TargetMode="External"/><Relationship Id="rId38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hyperlink" Target="https://www.edutopia.org/article/extending-silence" TargetMode="External"/><Relationship Id="rId20" Type="http://schemas.openxmlformats.org/officeDocument/2006/relationships/hyperlink" Target="https://www.edutopia.org/article/inquiry-based-learning-resources-downloads" TargetMode="External"/><Relationship Id="rId29" Type="http://schemas.openxmlformats.org/officeDocument/2006/relationships/hyperlink" Target="https://www.edutopia.org/article/accommodating-students-dyslexi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topia.org/video/60-second-strategy-3-read-protocol" TargetMode="External"/><Relationship Id="rId11" Type="http://schemas.openxmlformats.org/officeDocument/2006/relationships/hyperlink" Target="https://www.edutopia.org/blog/22-powerful-closure-activities-todd-finley" TargetMode="External"/><Relationship Id="rId24" Type="http://schemas.openxmlformats.org/officeDocument/2006/relationships/hyperlink" Target="https://www.edutopia.org/blog/alternatives-to-round-robin-reading-todd-finley" TargetMode="External"/><Relationship Id="rId32" Type="http://schemas.openxmlformats.org/officeDocument/2006/relationships/hyperlink" Target="https://www.edutopia.org/article/assistive-technology-resources" TargetMode="External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hyperlink" Target="https://www.edutopia.org/article/learning-math-seeing-it-story" TargetMode="External"/><Relationship Id="rId23" Type="http://schemas.openxmlformats.org/officeDocument/2006/relationships/hyperlink" Target="https://www.edutopia.org/article/22-diverse-book-choices-all-grade-levels" TargetMode="External"/><Relationship Id="rId28" Type="http://schemas.openxmlformats.org/officeDocument/2006/relationships/hyperlink" Target="https://www.edutopia.org/article/easy-ways-bring-assistive-technology-your-classro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edutopia.org/blog/new-classroom-questioning-techniques-todd-finley" TargetMode="External"/><Relationship Id="rId19" Type="http://schemas.openxmlformats.org/officeDocument/2006/relationships/hyperlink" Target="https://www.edutopia.org/stw-kipp-critical-thinking-resources-downloads" TargetMode="External"/><Relationship Id="rId31" Type="http://schemas.openxmlformats.org/officeDocument/2006/relationships/hyperlink" Target="https://www.edutopia.org/article/ensuring-instruction-inclusive-diverse-learn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dutopia.org/blog/questioning-that-deepens-comprehension-douglas-fisher-nancy-frey" TargetMode="External"/><Relationship Id="rId14" Type="http://schemas.openxmlformats.org/officeDocument/2006/relationships/hyperlink" Target="https://www.edutopia.org/blog/deeper-learning-collaboration-key-rebecca-alber" TargetMode="External"/><Relationship Id="rId22" Type="http://schemas.openxmlformats.org/officeDocument/2006/relationships/hyperlink" Target="https://www.edutopia.org/article/teaching-students-paraphrase" TargetMode="External"/><Relationship Id="rId27" Type="http://schemas.openxmlformats.org/officeDocument/2006/relationships/hyperlink" Target="https://www.edutopia.org/" TargetMode="External"/><Relationship Id="rId30" Type="http://schemas.openxmlformats.org/officeDocument/2006/relationships/hyperlink" Target="https://www.edutopia.org/video/collaborative-reading-building-successful-readers-together" TargetMode="External"/><Relationship Id="rId35" Type="http://schemas.openxmlformats.org/officeDocument/2006/relationships/header" Target="header1.xml"/><Relationship Id="rId8" Type="http://schemas.openxmlformats.org/officeDocument/2006/relationships/hyperlink" Target="https://www.edutopia.org/blog/golden-rules-for-engaging-students-nicolas-pino-jame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F1A7D-733E-4BA0-95DE-BD20919A9A36}"/>
</file>

<file path=customXml/itemProps2.xml><?xml version="1.0" encoding="utf-8"?>
<ds:datastoreItem xmlns:ds="http://schemas.openxmlformats.org/officeDocument/2006/customXml" ds:itemID="{E28B77CE-EBF8-4591-B4ED-9EE9948E7B38}"/>
</file>

<file path=customXml/itemProps3.xml><?xml version="1.0" encoding="utf-8"?>
<ds:datastoreItem xmlns:ds="http://schemas.openxmlformats.org/officeDocument/2006/customXml" ds:itemID="{C1F9677B-DD0A-40D5-81E9-B75F008294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 Laczko-Kerr</dc:creator>
  <cp:keywords/>
  <dc:description/>
  <cp:lastModifiedBy>Ildi Laczko-Kerr</cp:lastModifiedBy>
  <cp:revision>7</cp:revision>
  <dcterms:created xsi:type="dcterms:W3CDTF">2019-06-15T15:56:00Z</dcterms:created>
  <dcterms:modified xsi:type="dcterms:W3CDTF">2019-06-17T21:45:00Z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