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F3A373" w14:textId="77777777" w:rsidR="0082623A" w:rsidRDefault="0082623A"/>
    <w:tbl>
      <w:tblPr>
        <w:tblOverlap w:val="never"/>
        <w:tblW w:w="9249"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9249"/>
      </w:tblGrid>
      <w:tr w:rsidR="00AC07B2" w14:paraId="1560BE0F" w14:textId="77777777">
        <w:trPr>
          <w:trHeight w:val="936"/>
        </w:trPr>
        <w:tc>
          <w:tcPr>
            <w:tcW w:w="9249" w:type="dxa"/>
            <w:tcBorders>
              <w:top w:val="none" w:sz="2" w:space="0" w:color="000000"/>
              <w:left w:val="none" w:sz="2" w:space="0" w:color="000000"/>
              <w:bottom w:val="none" w:sz="2" w:space="0" w:color="000000"/>
              <w:right w:val="none" w:sz="2" w:space="0" w:color="000000"/>
            </w:tcBorders>
            <w:vAlign w:val="center"/>
          </w:tcPr>
          <w:p w14:paraId="1052C405" w14:textId="77777777" w:rsidR="00AC07B2" w:rsidRDefault="007019A0" w:rsidP="0082623A">
            <w:pPr>
              <w:pStyle w:val="a3"/>
              <w:wordWrap/>
              <w:spacing w:line="288" w:lineRule="auto"/>
              <w:jc w:val="center"/>
            </w:pPr>
            <w:bookmarkStart w:id="0" w:name="_top"/>
            <w:bookmarkEnd w:id="0"/>
            <w:r>
              <w:rPr>
                <w:rFonts w:eastAsia="바탕"/>
                <w:b/>
                <w:w w:val="95"/>
                <w:sz w:val="36"/>
              </w:rPr>
              <w:t>서브마이크론 Cu 하이브리드 본딩 패드의 접촉 기구 전환과</w:t>
            </w:r>
          </w:p>
          <w:p w14:paraId="5236A4E5" w14:textId="77777777" w:rsidR="00AC07B2" w:rsidRDefault="007019A0" w:rsidP="0082623A">
            <w:pPr>
              <w:pStyle w:val="a3"/>
              <w:wordWrap/>
              <w:spacing w:line="288" w:lineRule="auto"/>
              <w:jc w:val="center"/>
            </w:pPr>
            <w:r>
              <w:rPr>
                <w:rFonts w:eastAsia="바탕"/>
                <w:b/>
                <w:w w:val="95"/>
                <w:sz w:val="36"/>
              </w:rPr>
              <w:t>300 nm 공정창 예측: 사전등록 검증 기반 열탄성–표면확산 모델</w:t>
            </w:r>
          </w:p>
        </w:tc>
      </w:tr>
    </w:tbl>
    <w:p w14:paraId="3B680943" w14:textId="77777777" w:rsidR="00AC07B2" w:rsidRDefault="00AC07B2" w:rsidP="0082623A">
      <w:pPr>
        <w:pStyle w:val="a3"/>
        <w:wordWrap/>
        <w:spacing w:line="288" w:lineRule="auto"/>
      </w:pPr>
    </w:p>
    <w:tbl>
      <w:tblPr>
        <w:tblOverlap w:val="never"/>
        <w:tblW w:w="9362"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9362"/>
      </w:tblGrid>
      <w:tr w:rsidR="00AC07B2" w:rsidRPr="00A30AC4" w14:paraId="4037F5FB" w14:textId="77777777">
        <w:trPr>
          <w:trHeight w:val="3616"/>
        </w:trPr>
        <w:tc>
          <w:tcPr>
            <w:tcW w:w="9362" w:type="dxa"/>
            <w:tcBorders>
              <w:top w:val="none" w:sz="2" w:space="0" w:color="000000"/>
              <w:left w:val="none" w:sz="2" w:space="0" w:color="000000"/>
              <w:bottom w:val="none" w:sz="2" w:space="0" w:color="000000"/>
              <w:right w:val="none" w:sz="2" w:space="0" w:color="000000"/>
            </w:tcBorders>
            <w:vAlign w:val="center"/>
          </w:tcPr>
          <w:p w14:paraId="21381194" w14:textId="77777777" w:rsidR="00AC07B2" w:rsidRPr="00A30AC4" w:rsidRDefault="00AC07B2" w:rsidP="0082623A">
            <w:pPr>
              <w:pStyle w:val="a3"/>
              <w:wordWrap/>
              <w:spacing w:line="288" w:lineRule="auto"/>
              <w:jc w:val="center"/>
              <w:rPr>
                <w:rFonts w:ascii="HY신명조" w:eastAsia="HY신명조"/>
                <w:b/>
              </w:rPr>
            </w:pPr>
          </w:p>
          <w:p w14:paraId="2E18754D" w14:textId="77777777" w:rsidR="005A120E" w:rsidRPr="00812D06" w:rsidRDefault="005A120E" w:rsidP="005A120E">
            <w:pPr>
              <w:pStyle w:val="a3"/>
              <w:wordWrap/>
              <w:spacing w:line="336" w:lineRule="auto"/>
              <w:jc w:val="center"/>
              <w:rPr>
                <w:rFonts w:ascii="한컴바탕" w:eastAsia="굴림" w:hAnsi="굴림" w:cs="굴림"/>
                <w:kern w:val="0"/>
                <w:szCs w:val="20"/>
              </w:rPr>
            </w:pPr>
            <w:r w:rsidRPr="00812D06">
              <w:rPr>
                <w:rFonts w:ascii="한컴바탕" w:eastAsia="한컴바탕" w:hAnsi="굴림" w:cs="굴림"/>
                <w:b/>
                <w:bCs/>
                <w:kern w:val="0"/>
                <w:szCs w:val="20"/>
              </w:rPr>
              <w:t>[저자 기입]</w:t>
            </w:r>
          </w:p>
          <w:p w14:paraId="7B58DF0A" w14:textId="3425CECD" w:rsidR="005A120E" w:rsidRPr="00812D06" w:rsidRDefault="005A120E" w:rsidP="005A120E">
            <w:pPr>
              <w:wordWrap/>
              <w:spacing w:after="0" w:line="336" w:lineRule="auto"/>
              <w:jc w:val="center"/>
              <w:textAlignment w:val="baseline"/>
              <w:rPr>
                <w:rFonts w:ascii="한컴바탕" w:eastAsia="굴림" w:hAnsi="굴림" w:cs="굴림"/>
                <w:color w:val="000000"/>
                <w:kern w:val="0"/>
                <w:szCs w:val="20"/>
              </w:rPr>
            </w:pPr>
            <w:r w:rsidRPr="00812D06">
              <w:rPr>
                <w:rFonts w:ascii="한컴바탕" w:eastAsia="한컴바탕" w:hAnsi="굴림" w:cs="굴림"/>
                <w:b/>
                <w:bCs/>
                <w:color w:val="000000"/>
                <w:kern w:val="0"/>
                <w:szCs w:val="20"/>
              </w:rPr>
              <w:t>[소속 기입]</w:t>
            </w:r>
          </w:p>
          <w:p w14:paraId="667549C6" w14:textId="71FADC3C" w:rsidR="00AC07B2" w:rsidRPr="00A30AC4" w:rsidRDefault="007019A0" w:rsidP="0082623A">
            <w:pPr>
              <w:pStyle w:val="a3"/>
              <w:wordWrap/>
              <w:spacing w:line="288" w:lineRule="auto"/>
              <w:jc w:val="center"/>
              <w:rPr>
                <w:rFonts w:ascii="HY신명조" w:eastAsia="HY신명조"/>
              </w:rPr>
            </w:pPr>
            <w:proofErr w:type="gramStart"/>
            <w:r w:rsidRPr="00A30AC4">
              <w:rPr>
                <w:rFonts w:ascii="HY신명조" w:eastAsia="HY신명조" w:hint="eastAsia"/>
                <w:b/>
              </w:rPr>
              <w:t>e-mail : [기입]</w:t>
            </w:r>
            <w:proofErr w:type="gramEnd"/>
          </w:p>
          <w:p w14:paraId="3C9C2DC3" w14:textId="77777777" w:rsidR="00AC07B2" w:rsidRPr="00A30AC4" w:rsidRDefault="00AC07B2" w:rsidP="0082623A">
            <w:pPr>
              <w:pStyle w:val="a3"/>
              <w:wordWrap/>
              <w:spacing w:line="288" w:lineRule="auto"/>
              <w:jc w:val="center"/>
              <w:rPr>
                <w:rFonts w:ascii="HY신명조" w:eastAsia="HY신명조"/>
                <w:b/>
              </w:rPr>
            </w:pPr>
          </w:p>
          <w:p w14:paraId="4E945CD8" w14:textId="77777777" w:rsidR="00AC07B2" w:rsidRPr="00A30AC4" w:rsidRDefault="007019A0" w:rsidP="0082623A">
            <w:pPr>
              <w:pStyle w:val="a3"/>
              <w:wordWrap/>
              <w:spacing w:line="288" w:lineRule="auto"/>
              <w:jc w:val="center"/>
              <w:rPr>
                <w:rFonts w:ascii="HY신명조" w:eastAsia="HY신명조"/>
              </w:rPr>
            </w:pPr>
            <w:r w:rsidRPr="00A30AC4">
              <w:rPr>
                <w:rFonts w:ascii="HY신명조" w:eastAsia="HY신명조" w:hint="eastAsia"/>
                <w:b/>
                <w:sz w:val="24"/>
              </w:rPr>
              <w:t>Mechanism Transition and 300 nm Process-Window Prediction for Sub-Micron Cu</w:t>
            </w:r>
          </w:p>
          <w:p w14:paraId="2CBA9D7E" w14:textId="77777777" w:rsidR="00AC07B2" w:rsidRPr="00A30AC4" w:rsidRDefault="007019A0" w:rsidP="0082623A">
            <w:pPr>
              <w:pStyle w:val="a3"/>
              <w:wordWrap/>
              <w:spacing w:line="288" w:lineRule="auto"/>
              <w:jc w:val="center"/>
              <w:rPr>
                <w:rFonts w:ascii="HY신명조" w:eastAsia="HY신명조"/>
              </w:rPr>
            </w:pPr>
            <w:r w:rsidRPr="00A30AC4">
              <w:rPr>
                <w:rFonts w:ascii="HY신명조" w:eastAsia="HY신명조" w:hint="eastAsia"/>
                <w:b/>
                <w:sz w:val="24"/>
              </w:rPr>
              <w:t>Hybrid-Bonding Pads: A Pre-Registered Thermo-Elastic/Surface-Diffusion Model</w:t>
            </w:r>
          </w:p>
          <w:p w14:paraId="0E38A825" w14:textId="77777777" w:rsidR="00AC07B2" w:rsidRPr="00A30AC4" w:rsidRDefault="00AC07B2" w:rsidP="0082623A">
            <w:pPr>
              <w:pStyle w:val="a3"/>
              <w:wordWrap/>
              <w:spacing w:line="288" w:lineRule="auto"/>
              <w:jc w:val="center"/>
              <w:rPr>
                <w:rFonts w:ascii="HY신명조" w:eastAsia="HY신명조"/>
                <w:b/>
                <w:sz w:val="24"/>
              </w:rPr>
            </w:pPr>
          </w:p>
          <w:p w14:paraId="0F61C611" w14:textId="77777777" w:rsidR="00272714" w:rsidRDefault="00272714" w:rsidP="0082623A">
            <w:pPr>
              <w:pStyle w:val="a3"/>
              <w:wordWrap/>
              <w:spacing w:line="288" w:lineRule="auto"/>
              <w:jc w:val="center"/>
              <w:rPr>
                <w:b/>
                <w:bCs/>
                <w:shd w:val="clear" w:color="auto" w:fill="FFFFFF"/>
              </w:rPr>
            </w:pPr>
            <w:r>
              <w:rPr>
                <w:rFonts w:hint="eastAsia"/>
                <w:b/>
                <w:bCs/>
                <w:shd w:val="clear" w:color="auto" w:fill="FFFFFF"/>
              </w:rPr>
              <w:t>[Author names]</w:t>
            </w:r>
          </w:p>
          <w:p w14:paraId="57284DA7" w14:textId="532D63FD" w:rsidR="00AC07B2" w:rsidRPr="00A30AC4" w:rsidRDefault="00272714" w:rsidP="0082623A">
            <w:pPr>
              <w:pStyle w:val="a3"/>
              <w:wordWrap/>
              <w:spacing w:line="288" w:lineRule="auto"/>
              <w:jc w:val="center"/>
              <w:rPr>
                <w:rFonts w:ascii="HY신명조" w:eastAsia="HY신명조"/>
                <w:b/>
              </w:rPr>
            </w:pPr>
            <w:r>
              <w:rPr>
                <w:rFonts w:hint="eastAsia"/>
                <w:b/>
                <w:bCs/>
                <w:shd w:val="clear" w:color="auto" w:fill="FFFFFF"/>
              </w:rPr>
              <w:t>[Affiliation]</w:t>
            </w:r>
            <w:proofErr w:type="gramStart"/>
            <w:proofErr w:type="gramEnd"/>
          </w:p>
        </w:tc>
      </w:tr>
    </w:tbl>
    <w:p w14:paraId="1C2C2788" w14:textId="77777777" w:rsidR="0082623A" w:rsidRPr="00A30AC4" w:rsidRDefault="0082623A" w:rsidP="0082623A">
      <w:pPr>
        <w:pStyle w:val="a3"/>
        <w:wordWrap/>
        <w:spacing w:line="288" w:lineRule="auto"/>
        <w:rPr>
          <w:rFonts w:ascii="HY신명조" w:eastAsia="HY신명조"/>
        </w:rPr>
        <w:sectPr w:rsidR="0082623A" w:rsidRPr="00A30AC4" w:rsidSect="0082623A">
          <w:endnotePr>
            <w:numFmt w:val="decimal"/>
          </w:endnotePr>
          <w:pgSz w:w="11906" w:h="16838"/>
          <w:pgMar w:top="1701" w:right="1134" w:bottom="1701" w:left="1134" w:header="1134" w:footer="1134" w:gutter="0"/>
          <w:cols w:space="567"/>
        </w:sectPr>
      </w:pPr>
    </w:p>
    <w:p>
      <w:pPr>
        <w:pStyle w:val="a3"/>
        <w:spacing w:line="288" w:lineRule="auto" w:after="60" w:before="120"/>
        <w:jc w:val="center"/>
      </w:pPr>
      <w:r>
        <w:rPr>
          <w:rFonts w:ascii="Times New Roman" w:hAnsi="Times New Roman" w:eastAsia="HY신명조"/>
          <w:sz w:val="24"/>
        </w:rPr>
        <w:t>요  약</w:t>
      </w:r>
    </w:p>
    <w:p>
      <w:pPr>
        <w:pStyle w:val="a3"/>
        <w:spacing w:line="288" w:lineRule="auto" w:after="0" w:before="0"/>
        <w:ind w:firstLine="180"/>
        <w:jc w:val="both"/>
      </w:pPr>
      <w:r>
        <w:rPr>
          <w:rFonts w:ascii="Times New Roman" w:hAnsi="Times New Roman" w:eastAsia="HY신명조"/>
          <w:sz w:val="18"/>
        </w:rPr>
        <w:t>패드 피치가 1 µm 아래로 줄면 Cu 열탄성 팽창만으로는 CMP recess를 닫지 못한다. 문헌 물성 열탄성 FEM과 표면확산 bulge-out 식을 결합한 모델을 세 연구그룹 실측으로 사전등록 시험한 결과, 접촉 기구는 recess 합 5 nm에서 약 0.7 µm를 경계로 표면확산으로 넘어가고 방위 효과는 확산 항으로 들어온다. 300 nm 패드의 공정창, recess 허용 합 7.5–11.5 nm, 미접촉 쌍 하한을 불확실도와 함께 예측하였다.</w:t>
      </w:r>
    </w:p>
    <w:p>
      <w:pPr>
        <w:pStyle w:val="a3"/>
        <w:spacing w:line="288" w:lineRule="auto" w:after="60" w:before="120"/>
        <w:jc w:val="center"/>
      </w:pPr>
      <w:r>
        <w:rPr>
          <w:rFonts w:ascii="Times New Roman" w:hAnsi="Times New Roman" w:eastAsia="HY신명조"/>
          <w:sz w:val="24"/>
        </w:rPr>
        <w:t>I. 서론</w:t>
      </w:r>
    </w:p>
    <w:p>
      <w:pPr>
        <w:pStyle w:val="a3"/>
        <w:spacing w:line="288" w:lineRule="auto" w:after="0" w:before="0"/>
        <w:ind w:firstLine="180"/>
        <w:jc w:val="both"/>
      </w:pPr>
      <w:r>
        <w:rPr>
          <w:rFonts w:ascii="Times New Roman" w:hAnsi="Times New Roman" w:eastAsia="HY신명조"/>
          <w:sz w:val="18"/>
        </w:rPr>
        <w:t>웨이퍼 간(W2W) Cu/SiCN 하이브리드 본딩은 200 nm 피치까지 전기적 수율이 보고되었다</w:t>
      </w:r>
      <w:r>
        <w:rPr>
          <w:rFonts w:ascii="Times New Roman" w:hAnsi="Times New Roman" w:eastAsia="HY신명조"/>
          <w:sz w:val="18"/>
          <w:vertAlign w:val="superscript"/>
        </w:rPr>
        <w:t>[1]</w:t>
      </w:r>
      <w:r>
        <w:rPr>
          <w:rFonts w:ascii="Times New Roman" w:hAnsi="Times New Roman" w:eastAsia="HY신명조"/>
          <w:sz w:val="18"/>
        </w:rPr>
        <w:t>. 이 영역에서는 접합 후 어닐 중 Cu 패드의 열탄성 팽창이 패드 부피에 비례해 줄어 1 nm 이하가 되며, 상·하 패드의 Cu–Cu 접촉은 표면확산에 의한 Cu 원자의 재배치(bulge-out)가 만든다</w:t>
      </w:r>
      <w:r>
        <w:rPr>
          <w:rFonts w:ascii="Times New Roman" w:hAnsi="Times New Roman" w:eastAsia="HY신명조"/>
          <w:sz w:val="18"/>
          <w:vertAlign w:val="superscript"/>
        </w:rPr>
        <w:t>[2,3]</w:t>
      </w:r>
      <w:r>
        <w:rPr>
          <w:rFonts w:ascii="Times New Roman" w:hAnsi="Times New Roman" w:eastAsia="HY신명조"/>
          <w:sz w:val="18"/>
        </w:rPr>
        <w:t>. 따라서 1 µm 아래에서는 "어떤 recess에서 닫히는가"가 아니라 "어떤 어닐·표면·라이너·방위 조건에서 닫히는가"가 공정 설계 질문이 된다.</w:t>
      </w:r>
    </w:p>
    <w:p>
      <w:pPr>
        <w:pStyle w:val="a3"/>
        <w:spacing w:line="288" w:lineRule="auto" w:after="0" w:before="0"/>
        <w:ind w:firstLine="180"/>
        <w:jc w:val="both"/>
      </w:pPr>
      <w:r>
        <w:rPr>
          <w:rFonts w:ascii="Times New Roman" w:hAnsi="Times New Roman" w:eastAsia="HY신명조"/>
          <w:sz w:val="18"/>
        </w:rPr>
        <w:t>본 논문은 어닐 중 Cu 패드가 솟는 양을 두 기구의 합으로 본다. (i) 열탄성 돌출 u는 Cu와 유전체·Si의 열팽창 차이로 생기며 패드 부피에 비례하고 식으면 되돌아간다. (ii) 표면확산 bulge-out h</w:t>
      </w:r>
      <w:r>
        <w:rPr>
          <w:rFonts w:ascii="Times New Roman" w:hAnsi="Times New Roman" w:eastAsia="HY신명조"/>
          <w:sz w:val="18"/>
          <w:vertAlign w:val="subscript"/>
        </w:rPr>
        <w:t>d</w:t>
      </w:r>
      <w:r>
        <w:rPr>
          <w:rFonts w:ascii="Times New Roman" w:hAnsi="Times New Roman" w:eastAsia="HY신명조"/>
          <w:sz w:val="18"/>
        </w:rPr>
        <w:t>는 표면에너지를 줄이려는 Cu 원자의 이동으로 생기며 어닐 온도·시간·표면 상태·결정 방위에 의존하고 되돌아가지 않는다. 접촉 조건은 두 기구의 위·아래 합이 recess 합을 넘는 것이다(Fig. 1a). 두 기구는 패드 크기에 다르게 반응하므로 접촉을 결정하는 기구가 크기에 따라 바뀐다.</w:t>
      </w:r>
    </w:p>
    <w:p>
      <w:pPr>
        <w:pStyle w:val="a3"/>
        <w:spacing w:before="80" w:line="240" w:lineRule="auto"/>
        <w:jc w:val="center"/>
      </w:pPr>
      <w:r>
        <w:drawing>
          <wp:inline xmlns:a="http://schemas.openxmlformats.org/drawingml/2006/main" xmlns:pic="http://schemas.openxmlformats.org/drawingml/2006/picture">
            <wp:extent cx="2862000" cy="2318084"/>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0"/>
                    <a:stretch>
                      <a:fillRect/>
                    </a:stretch>
                  </pic:blipFill>
                  <pic:spPr>
                    <a:xfrm>
                      <a:off x="0" y="0"/>
                      <a:ext cx="2862000" cy="2318084"/>
                    </a:xfrm>
                    <a:prstGeom prst="rect"/>
                  </pic:spPr>
                </pic:pic>
              </a:graphicData>
            </a:graphic>
          </wp:inline>
        </w:drawing>
      </w:r>
    </w:p>
    <w:p>
      <w:pPr>
        <w:pStyle w:val="a3"/>
        <w:spacing w:line="240" w:lineRule="auto" w:after="80" w:before="0"/>
        <w:jc w:val="both"/>
      </w:pPr>
      <w:r>
        <w:rPr>
          <w:rFonts w:ascii="Times New Roman" w:hAnsi="Times New Roman" w:eastAsia="HY신명조"/>
          <w:sz w:val="16"/>
        </w:rPr>
        <w:t>Fig. 1. (a) Pad pair with recess r, thermo-elastic protrusion u and surface-diffusion bulge-out h</w:t>
      </w:r>
      <w:r>
        <w:rPr>
          <w:rFonts w:ascii="Times New Roman" w:hAnsi="Times New Roman" w:eastAsia="HY신명조"/>
          <w:sz w:val="16"/>
          <w:vertAlign w:val="subscript"/>
        </w:rPr>
        <w:t>d</w:t>
      </w:r>
      <w:r>
        <w:rPr>
          <w:rFonts w:ascii="Times New Roman" w:hAnsi="Times New Roman" w:eastAsia="HY신명조"/>
          <w:sz w:val="16"/>
        </w:rPr>
        <w:t>; contact when m = u</w:t>
      </w:r>
      <w:r>
        <w:rPr>
          <w:rFonts w:ascii="Times New Roman" w:hAnsi="Times New Roman" w:eastAsia="HY신명조"/>
          <w:sz w:val="16"/>
          <w:vertAlign w:val="subscript"/>
        </w:rPr>
        <w:t>t</w:t>
      </w:r>
      <w:r>
        <w:rPr>
          <w:rFonts w:ascii="Times New Roman" w:hAnsi="Times New Roman" w:eastAsia="HY신명조"/>
          <w:sz w:val="16"/>
        </w:rPr>
        <w:t xml:space="preserve"> + u</w:t>
      </w:r>
      <w:r>
        <w:rPr>
          <w:rFonts w:ascii="Times New Roman" w:hAnsi="Times New Roman" w:eastAsia="HY신명조"/>
          <w:sz w:val="16"/>
          <w:vertAlign w:val="subscript"/>
        </w:rPr>
        <w:t>b</w:t>
      </w:r>
      <w:r>
        <w:rPr>
          <w:rFonts w:ascii="Times New Roman" w:hAnsi="Times New Roman" w:eastAsia="HY신명조"/>
          <w:sz w:val="16"/>
        </w:rPr>
        <w:t xml:space="preserve"> + h</w:t>
      </w:r>
      <w:r>
        <w:rPr>
          <w:rFonts w:ascii="Times New Roman" w:hAnsi="Times New Roman" w:eastAsia="HY신명조"/>
          <w:sz w:val="16"/>
          <w:vertAlign w:val="subscript"/>
        </w:rPr>
        <w:t>d,t</w:t>
      </w:r>
      <w:r>
        <w:rPr>
          <w:rFonts w:ascii="Times New Roman" w:hAnsi="Times New Roman" w:eastAsia="HY신명조"/>
          <w:sz w:val="16"/>
        </w:rPr>
        <w:t xml:space="preserve"> + h</w:t>
      </w:r>
      <w:r>
        <w:rPr>
          <w:rFonts w:ascii="Times New Roman" w:hAnsi="Times New Roman" w:eastAsia="HY신명조"/>
          <w:sz w:val="16"/>
          <w:vertAlign w:val="subscript"/>
        </w:rPr>
        <w:t>d,b</w:t>
      </w:r>
      <w:r>
        <w:rPr>
          <w:rFonts w:ascii="Times New Roman" w:hAnsi="Times New Roman" w:eastAsia="HY신명조"/>
          <w:sz w:val="16"/>
        </w:rPr>
        <w:t xml:space="preserve"> − (r</w:t>
      </w:r>
      <w:r>
        <w:rPr>
          <w:rFonts w:ascii="Times New Roman" w:hAnsi="Times New Roman" w:eastAsia="HY신명조"/>
          <w:sz w:val="16"/>
          <w:vertAlign w:val="subscript"/>
        </w:rPr>
        <w:t>t</w:t>
      </w:r>
      <w:r>
        <w:rPr>
          <w:rFonts w:ascii="Times New Roman" w:hAnsi="Times New Roman" w:eastAsia="HY신명조"/>
          <w:sz w:val="16"/>
        </w:rPr>
        <w:t xml:space="preserve"> + r</w:t>
      </w:r>
      <w:r>
        <w:rPr>
          <w:rFonts w:ascii="Times New Roman" w:hAnsi="Times New Roman" w:eastAsia="HY신명조"/>
          <w:sz w:val="16"/>
          <w:vertAlign w:val="subscript"/>
        </w:rPr>
        <w:t>b</w:t>
      </w:r>
      <w:r>
        <w:rPr>
          <w:rFonts w:ascii="Times New Roman" w:hAnsi="Times New Roman" w:eastAsia="HY신명조"/>
          <w:sz w:val="16"/>
        </w:rPr>
        <w:t>) ≥ 0. (b) Pre-registered V&amp;V workflow (verification → train → test → prediction).</w:t>
      </w:r>
    </w:p>
    <w:p>
      <w:pPr>
        <w:pStyle w:val="a3"/>
        <w:spacing w:line="288" w:lineRule="auto" w:after="0" w:before="0"/>
        <w:ind w:firstLine="180"/>
        <w:jc w:val="both"/>
      </w:pPr>
      <w:r>
        <w:rPr>
          <w:rFonts w:ascii="Times New Roman" w:hAnsi="Times New Roman" w:eastAsia="HY신명조"/>
          <w:sz w:val="18"/>
        </w:rPr>
        <w:t>선행연구는 역할이 나뉘어 있다. Ayoub 등</w:t>
      </w:r>
      <w:r>
        <w:rPr>
          <w:rFonts w:ascii="Times New Roman" w:hAnsi="Times New Roman" w:eastAsia="HY신명조"/>
          <w:sz w:val="18"/>
          <w:vertAlign w:val="superscript"/>
        </w:rPr>
        <w:t>[4]</w:t>
      </w:r>
      <w:r>
        <w:rPr>
          <w:rFonts w:ascii="Times New Roman" w:hAnsi="Times New Roman" w:eastAsia="HY신명조"/>
          <w:sz w:val="18"/>
        </w:rPr>
        <w:t>은 300 nm 패드의 Laue 편차 변형률로 방위에 따른 탄성 차이를 보였고, Lin·Chen 등</w:t>
      </w:r>
      <w:r>
        <w:rPr>
          <w:rFonts w:ascii="Times New Roman" w:hAnsi="Times New Roman" w:eastAsia="HY신명조"/>
          <w:sz w:val="18"/>
          <w:vertAlign w:val="superscript"/>
        </w:rPr>
        <w:t>[5,6]</w:t>
      </w:r>
      <w:r>
        <w:rPr>
          <w:rFonts w:ascii="Times New Roman" w:hAnsi="Times New Roman" w:eastAsia="HY신명조"/>
          <w:sz w:val="18"/>
        </w:rPr>
        <w:t>은 in-situ AFM으로 1–9 µm 패드의 돌출을 쟀으며, imec</w:t>
      </w:r>
      <w:r>
        <w:rPr>
          <w:rFonts w:ascii="Times New Roman" w:hAnsi="Times New Roman" w:eastAsia="HY신명조"/>
          <w:sz w:val="18"/>
          <w:vertAlign w:val="superscript"/>
        </w:rPr>
        <w:t>[2,3,7]</w:t>
      </w:r>
      <w:r>
        <w:rPr>
          <w:rFonts w:ascii="Times New Roman" w:hAnsi="Times New Roman" w:eastAsia="HY신명조"/>
          <w:sz w:val="18"/>
        </w:rPr>
        <w:t>은 접합 후 상부 웨이퍼를 제거해 수천 개 패드의 bulge-out 분포를 AFM·EBSD로 측정했다. 그러나 열탄성·표면확산을 하나의 공정창으로 묶고 각 부분을 독립 실측으로 시험한 연구는 없으며, 벌크 물성 FEM은 sub-µm 실측을 재현하지 못한다는 보고가 있다</w:t>
      </w:r>
      <w:r>
        <w:rPr>
          <w:rFonts w:ascii="Times New Roman" w:hAnsi="Times New Roman" w:eastAsia="HY신명조"/>
          <w:sz w:val="18"/>
          <w:vertAlign w:val="superscript"/>
        </w:rPr>
        <w:t>[8]</w:t>
      </w:r>
      <w:r>
        <w:rPr>
          <w:rFonts w:ascii="Times New Roman" w:hAnsi="Times New Roman" w:eastAsia="HY신명조"/>
          <w:sz w:val="18"/>
        </w:rPr>
        <w:t>.</w:t>
      </w:r>
    </w:p>
    <w:p>
      <w:pPr>
        <w:pStyle w:val="a3"/>
        <w:spacing w:line="288" w:lineRule="auto" w:after="0" w:before="0"/>
        <w:ind w:firstLine="180"/>
        <w:jc w:val="both"/>
      </w:pPr>
      <w:r>
        <w:rPr>
          <w:rFonts w:ascii="Times New Roman" w:hAnsi="Times New Roman" w:eastAsia="HY신명조"/>
          <w:sz w:val="18"/>
        </w:rPr>
        <w:t>본 연구의 기여는 세 가지다. ① 세 연구그룹의 실측으로 교차 시험한 결합 모델에서, 접촉 기구가 열탄성에서 표면확산으로 넘어가는 폭을 recess 조건부 규칙으로 정량화했다(recess 합 3/5/8 nm에서 실측 기준 0.55/0.70/1.0 µm, 5 nm에서 모델 0.66–1.06 µm). ② sub-µm에서 결정 방위의 효과는 탄성 항(폭 4 %)이 아니라 표면확산 항(&lt;111&gt; facet)을 통해 들어오며, 이 항이 imec bulge-out 분포의 폭과 &lt;111&gt; 꼬리를 재조정 없이 재현함을 보였다. 즉 방위 위험은 Ayoub가 제안한 [111] 기준 recess 사양이 아니라 어닐·텍스처로 다뤄야 한다. ③ 300 nm 공정창, CMP recess 허용 합, 방위에 의한 미접촉 쌍 하한과 인자 순위를 불확실도와 함께 제시하고, 탄성 모델의 0.54 µm 오차가 이 결론을 거의 바꾸지 않음을 보였다.</w:t>
      </w:r>
    </w:p>
    <w:p>
      <w:pPr>
        <w:pStyle w:val="a3"/>
        <w:spacing w:line="288" w:lineRule="auto" w:after="60" w:before="120"/>
        <w:jc w:val="center"/>
      </w:pPr>
      <w:r>
        <w:rPr>
          <w:rFonts w:ascii="Times New Roman" w:hAnsi="Times New Roman" w:eastAsia="HY신명조"/>
          <w:sz w:val="24"/>
        </w:rPr>
        <w:t>II. 모델과 검증 절차</w:t>
      </w:r>
    </w:p>
    <w:p>
      <w:pPr>
        <w:pStyle w:val="a3"/>
        <w:spacing w:line="288" w:lineRule="auto" w:after="0" w:before="0"/>
        <w:ind w:firstLine="180"/>
        <w:jc w:val="both"/>
      </w:pPr>
      <w:r>
        <w:rPr>
          <w:rFonts w:ascii="Times New Roman" w:hAnsi="Times New Roman" w:eastAsia="HY신명조"/>
          <w:b/>
          <w:sz w:val="18"/>
        </w:rPr>
        <w:t xml:space="preserve">2.1 용어와 접촉 조건. </w:t>
      </w:r>
      <w:r>
        <w:rPr>
          <w:rFonts w:ascii="Times New Roman" w:hAnsi="Times New Roman" w:eastAsia="HY신명조"/>
          <w:sz w:val="18"/>
        </w:rPr>
        <w:t>recess r은 CMP 후 Cu 윗면이 유전체 면보다 낮은 깊이(공정 입력), u는 어닐 중 열탄성 돌출(모델 출력), h</w:t>
      </w:r>
      <w:r>
        <w:rPr>
          <w:rFonts w:ascii="Times New Roman" w:hAnsi="Times New Roman" w:eastAsia="HY신명조"/>
          <w:sz w:val="18"/>
          <w:vertAlign w:val="subscript"/>
        </w:rPr>
        <w:t>d</w:t>
      </w:r>
      <w:r>
        <w:rPr>
          <w:rFonts w:ascii="Times New Roman" w:hAnsi="Times New Roman" w:eastAsia="HY신명조"/>
          <w:sz w:val="18"/>
        </w:rPr>
        <w:t>는 표면확산 bulge-out 높이(패드 자기 표면 기준), ε′</w:t>
      </w:r>
      <w:r>
        <w:rPr>
          <w:rFonts w:ascii="Times New Roman" w:hAnsi="Times New Roman" w:eastAsia="HY신명조"/>
          <w:sz w:val="18"/>
          <w:vertAlign w:val="subscript"/>
        </w:rPr>
        <w:t>zz</w:t>
      </w:r>
      <w:r>
        <w:rPr>
          <w:rFonts w:ascii="Times New Roman" w:hAnsi="Times New Roman" w:eastAsia="HY신명조"/>
          <w:sz w:val="18"/>
        </w:rPr>
        <w:t>는 Laue가 재는 편차 탄성 변형률이며 서로 섞지 않는다. 상·하 패드의 접촉 여유는 m = u</w:t>
      </w:r>
      <w:r>
        <w:rPr>
          <w:rFonts w:ascii="Times New Roman" w:hAnsi="Times New Roman" w:eastAsia="HY신명조"/>
          <w:sz w:val="18"/>
          <w:vertAlign w:val="subscript"/>
        </w:rPr>
        <w:t>t</w:t>
      </w:r>
      <w:r>
        <w:rPr>
          <w:rFonts w:ascii="Times New Roman" w:hAnsi="Times New Roman" w:eastAsia="HY신명조"/>
          <w:sz w:val="18"/>
        </w:rPr>
        <w:t xml:space="preserve"> + u</w:t>
      </w:r>
      <w:r>
        <w:rPr>
          <w:rFonts w:ascii="Times New Roman" w:hAnsi="Times New Roman" w:eastAsia="HY신명조"/>
          <w:sz w:val="18"/>
          <w:vertAlign w:val="subscript"/>
        </w:rPr>
        <w:t>b</w:t>
      </w:r>
      <w:r>
        <w:rPr>
          <w:rFonts w:ascii="Times New Roman" w:hAnsi="Times New Roman" w:eastAsia="HY신명조"/>
          <w:sz w:val="18"/>
        </w:rPr>
        <w:t xml:space="preserve"> + h</w:t>
      </w:r>
      <w:r>
        <w:rPr>
          <w:rFonts w:ascii="Times New Roman" w:hAnsi="Times New Roman" w:eastAsia="HY신명조"/>
          <w:sz w:val="18"/>
          <w:vertAlign w:val="subscript"/>
        </w:rPr>
        <w:t>d,t</w:t>
      </w:r>
      <w:r>
        <w:rPr>
          <w:rFonts w:ascii="Times New Roman" w:hAnsi="Times New Roman" w:eastAsia="HY신명조"/>
          <w:sz w:val="18"/>
        </w:rPr>
        <w:t xml:space="preserve"> + h</w:t>
      </w:r>
      <w:r>
        <w:rPr>
          <w:rFonts w:ascii="Times New Roman" w:hAnsi="Times New Roman" w:eastAsia="HY신명조"/>
          <w:sz w:val="18"/>
          <w:vertAlign w:val="subscript"/>
        </w:rPr>
        <w:t>d,b</w:t>
      </w:r>
      <w:r>
        <w:rPr>
          <w:rFonts w:ascii="Times New Roman" w:hAnsi="Times New Roman" w:eastAsia="HY신명조"/>
          <w:sz w:val="18"/>
        </w:rPr>
        <w:t xml:space="preserve"> − (r</w:t>
      </w:r>
      <w:r>
        <w:rPr>
          <w:rFonts w:ascii="Times New Roman" w:hAnsi="Times New Roman" w:eastAsia="HY신명조"/>
          <w:sz w:val="18"/>
          <w:vertAlign w:val="subscript"/>
        </w:rPr>
        <w:t>t</w:t>
      </w:r>
      <w:r>
        <w:rPr>
          <w:rFonts w:ascii="Times New Roman" w:hAnsi="Times New Roman" w:eastAsia="HY신명조"/>
          <w:sz w:val="18"/>
        </w:rPr>
        <w:t xml:space="preserve"> + r</w:t>
      </w:r>
      <w:r>
        <w:rPr>
          <w:rFonts w:ascii="Times New Roman" w:hAnsi="Times New Roman" w:eastAsia="HY신명조"/>
          <w:sz w:val="18"/>
          <w:vertAlign w:val="subscript"/>
        </w:rPr>
        <w:t>b</w:t>
      </w:r>
      <w:r>
        <w:rPr>
          <w:rFonts w:ascii="Times New Roman" w:hAnsi="Times New Roman" w:eastAsia="HY신명조"/>
          <w:sz w:val="18"/>
        </w:rPr>
        <w:t>)이고, 방위와 recess를 확률 변수로 두어 P(m ≥ 0)을 Monte Carlo로 계산한다.</w:t>
      </w:r>
    </w:p>
    <w:p>
      <w:pPr>
        <w:pStyle w:val="a3"/>
        <w:spacing w:line="288" w:lineRule="auto" w:after="0" w:before="0"/>
        <w:ind w:firstLine="180"/>
        <w:jc w:val="both"/>
      </w:pPr>
      <w:r>
        <w:rPr>
          <w:rFonts w:ascii="Times New Roman" w:hAnsi="Times New Roman" w:eastAsia="HY신명조"/>
          <w:b/>
          <w:sz w:val="18"/>
        </w:rPr>
        <w:t xml:space="preserve">2.2 열탄성 FEM. </w:t>
      </w:r>
      <w:r>
        <w:rPr>
          <w:rFonts w:ascii="Times New Roman" w:hAnsi="Times New Roman" w:eastAsia="HY신명조"/>
          <w:sz w:val="18"/>
        </w:rPr>
        <w:t>ANSYS MAPDL(µMKS)로 원형 Cu 패드, 측벽 테이퍼, Ta 라이너, 유전체, Si 기판 등가층을 모델링했다. 3D SOLID185 모델은 Cu 탄성상수 C</w:t>
      </w:r>
      <w:r>
        <w:rPr>
          <w:rFonts w:ascii="Times New Roman" w:hAnsi="Times New Roman" w:eastAsia="HY신명조"/>
          <w:sz w:val="18"/>
          <w:vertAlign w:val="subscript"/>
        </w:rPr>
        <w:t>11</w:t>
      </w:r>
      <w:r>
        <w:rPr>
          <w:rFonts w:ascii="Times New Roman" w:hAnsi="Times New Roman" w:eastAsia="HY신명조"/>
          <w:sz w:val="18"/>
        </w:rPr>
        <w:t>/C</w:t>
      </w:r>
      <w:r>
        <w:rPr>
          <w:rFonts w:ascii="Times New Roman" w:hAnsi="Times New Roman" w:eastAsia="HY신명조"/>
          <w:sz w:val="18"/>
          <w:vertAlign w:val="subscript"/>
        </w:rPr>
        <w:t>12</w:t>
      </w:r>
      <w:r>
        <w:rPr>
          <w:rFonts w:ascii="Times New Roman" w:hAnsi="Times New Roman" w:eastAsia="HY신명조"/>
          <w:sz w:val="18"/>
        </w:rPr>
        <w:t>/C</w:t>
      </w:r>
      <w:r>
        <w:rPr>
          <w:rFonts w:ascii="Times New Roman" w:hAnsi="Times New Roman" w:eastAsia="HY신명조"/>
          <w:sz w:val="18"/>
          <w:vertAlign w:val="subscript"/>
        </w:rPr>
        <w:t>44</w:t>
      </w:r>
      <w:r>
        <w:rPr>
          <w:rFonts w:ascii="Times New Roman" w:hAnsi="Times New Roman" w:eastAsia="HY신명조"/>
          <w:sz w:val="18"/>
        </w:rPr>
        <w:t xml:space="preserve"> = 168.4/121.4/75.4 GPa를 결정 방위로 회전한 이방성으로, 큰 다결정 패드는 2D 축대칭 Hill 등방(128 GPa, 0.345)으로 두고 α</w:t>
      </w:r>
      <w:r>
        <w:rPr>
          <w:rFonts w:ascii="Times New Roman" w:hAnsi="Times New Roman" w:eastAsia="HY신명조"/>
          <w:sz w:val="18"/>
          <w:vertAlign w:val="subscript"/>
        </w:rPr>
        <w:t>Cu</w:t>
      </w:r>
      <w:r>
        <w:rPr>
          <w:rFonts w:ascii="Times New Roman" w:hAnsi="Times New Roman" w:eastAsia="HY신명조"/>
          <w:sz w:val="18"/>
        </w:rPr>
        <w:t xml:space="preserve"> = 16.5 ppm/K이다. 측벽은 접합(절점 공유)을 기본으로 하고 미끄럼(법선만 구속)을 대조군으로 둔다. 셀은 배열 피치(2D 등면적 2.26 w) 또는 고립 12 w이다. 물리 규칙·Cu 물성·경계조건·메시 규칙은 모든 시료에 같고 형상·라이너·유전체·피치·열이력만 시료별 입력이다. 유전체 E·α는 공정당 한 번, 큰 패드에서만 문헌 범위 안에서 학습했다(NYCU SiO</w:t>
      </w:r>
      <w:r>
        <w:rPr>
          <w:rFonts w:ascii="Times New Roman" w:hAnsi="Times New Roman" w:eastAsia="HY신명조"/>
          <w:sz w:val="18"/>
          <w:vertAlign w:val="subscript"/>
        </w:rPr>
        <w:t>2</w:t>
      </w:r>
      <w:r>
        <w:rPr>
          <w:rFonts w:ascii="Times New Roman" w:hAnsi="Times New Roman" w:eastAsia="HY신명조"/>
          <w:sz w:val="18"/>
        </w:rPr>
        <w:t xml:space="preserve"> 59 GPa·1.0 ppm/K·테이퍼 18°, imec SiCN 120 GPa·2.0 ppm/K; 모두 범위 끝). u는 중앙 50 % 면적 평균에서 주변 유전체 평균을 뺀 값(AFM 정의와 동일)이다. 수치 검증: 이방성 단일요소 3방위 오차 &lt; 0.01 %, 메시 ×2 +0.02 %, 3D–2D 0.1–0.7 %, 셀 12 w(20 w 대비 1.3 %).</w:t>
      </w:r>
    </w:p>
    <w:p>
      <w:pPr>
        <w:pStyle w:val="a3"/>
        <w:spacing w:line="288" w:lineRule="auto" w:after="0" w:before="0"/>
        <w:ind w:firstLine="180"/>
        <w:jc w:val="both"/>
      </w:pPr>
      <w:r>
        <w:rPr>
          <w:rFonts w:ascii="Times New Roman" w:hAnsi="Times New Roman" w:eastAsia="HY신명조"/>
          <w:b/>
          <w:sz w:val="18"/>
        </w:rPr>
        <w:t xml:space="preserve">2.3 표면확산 항. </w:t>
      </w:r>
      <w:r>
        <w:rPr>
          <w:rFonts w:ascii="Times New Roman" w:hAnsi="Times New Roman" w:eastAsia="HY신명조"/>
          <w:sz w:val="18"/>
        </w:rPr>
        <w:t>DM2024</w:t>
      </w:r>
      <w:r>
        <w:rPr>
          <w:rFonts w:ascii="Times New Roman" w:hAnsi="Times New Roman" w:eastAsia="HY신명조"/>
          <w:sz w:val="18"/>
          <w:vertAlign w:val="superscript"/>
        </w:rPr>
        <w:t>[7]</w:t>
      </w:r>
      <w:r>
        <w:rPr>
          <w:rFonts w:ascii="Times New Roman" w:hAnsi="Times New Roman" w:eastAsia="HY신명조"/>
          <w:sz w:val="18"/>
        </w:rPr>
        <w:t>의 선형화를 따라 패드당 확산 높이를 다음과 같이 둔다.</w:t>
      </w:r>
    </w:p>
    <w:p>
      <w:pPr>
        <w:pStyle w:val="a3"/>
        <w:tabs>
          <w:tab w:pos="4507" w:val="left"/>
        </w:tabs>
        <w:spacing w:line="288" w:lineRule="auto" w:after="0" w:before="0"/>
        <w:jc w:val="left"/>
      </w:pPr>
      <w:r>
        <w:rPr>
          <w:rFonts w:ascii="Times New Roman" w:hAnsi="Times New Roman" w:eastAsia="HY신명조"/>
          <w:sz w:val="16"/>
        </w:rPr>
        <w:t>h</w:t>
      </w:r>
      <w:r>
        <w:rPr>
          <w:rFonts w:ascii="Times New Roman" w:hAnsi="Times New Roman" w:eastAsia="HY신명조"/>
          <w:sz w:val="16"/>
          <w:vertAlign w:val="subscript"/>
        </w:rPr>
        <w:t>d</w:t>
      </w:r>
      <w:r>
        <w:rPr>
          <w:rFonts w:ascii="Times New Roman" w:hAnsi="Times New Roman" w:eastAsia="HY신명조"/>
          <w:sz w:val="16"/>
        </w:rPr>
        <w:t xml:space="preserve"> = s</w:t>
      </w:r>
      <w:r>
        <w:rPr>
          <w:rFonts w:ascii="Times New Roman" w:hAnsi="Times New Roman" w:eastAsia="HY신명조"/>
          <w:sz w:val="16"/>
          <w:vertAlign w:val="subscript"/>
        </w:rPr>
        <w:t>ox</w:t>
      </w:r>
      <w:r>
        <w:rPr>
          <w:rFonts w:ascii="Times New Roman" w:hAnsi="Times New Roman" w:eastAsia="HY신명조"/>
          <w:sz w:val="16"/>
        </w:rPr>
        <w:t>·0.0022(θ</w:t>
      </w:r>
      <w:r>
        <w:rPr>
          <w:rFonts w:ascii="Times New Roman" w:hAnsi="Times New Roman" w:eastAsia="HY신명조"/>
          <w:sz w:val="16"/>
          <w:vertAlign w:val="subscript"/>
        </w:rPr>
        <w:t>eff</w:t>
      </w:r>
      <w:r>
        <w:rPr>
          <w:rFonts w:ascii="Times New Roman" w:hAnsi="Times New Roman" w:eastAsia="HY신명조"/>
          <w:sz w:val="16"/>
        </w:rPr>
        <w:t xml:space="preserve"> − 90°)·D·f(ω)·[1 − e</w:t>
      </w:r>
      <w:r>
        <w:rPr>
          <w:rFonts w:ascii="Times New Roman" w:hAnsi="Times New Roman" w:eastAsia="HY신명조"/>
          <w:sz w:val="16"/>
          <w:vertAlign w:val="superscript"/>
        </w:rPr>
        <w:t>−t/τ</w:t>
      </w:r>
      <w:r>
        <w:rPr>
          <w:rFonts w:ascii="Times New Roman" w:hAnsi="Times New Roman" w:eastAsia="HY신명조"/>
          <w:sz w:val="16"/>
        </w:rPr>
        <w:t>],  τ = τ</w:t>
      </w:r>
      <w:r>
        <w:rPr>
          <w:rFonts w:ascii="Times New Roman" w:hAnsi="Times New Roman" w:eastAsia="HY신명조"/>
          <w:sz w:val="16"/>
          <w:vertAlign w:val="subscript"/>
        </w:rPr>
        <w:t>0</w:t>
      </w:r>
      <w:r>
        <w:rPr>
          <w:rFonts w:ascii="Times New Roman" w:hAnsi="Times New Roman" w:eastAsia="HY신명조"/>
          <w:sz w:val="16"/>
        </w:rPr>
        <w:t>(D/200 nm)</w:t>
      </w:r>
      <w:r>
        <w:rPr>
          <w:rFonts w:ascii="Times New Roman" w:hAnsi="Times New Roman" w:eastAsia="HY신명조"/>
          <w:sz w:val="16"/>
          <w:vertAlign w:val="superscript"/>
        </w:rPr>
        <w:t>3.7</w:t>
      </w:r>
      <w:r>
        <w:rPr>
          <w:rFonts w:ascii="Times New Roman" w:hAnsi="Times New Roman" w:eastAsia="HY신명조"/>
          <w:sz w:val="16"/>
        </w:rPr>
        <w:t>·D</w:t>
      </w:r>
      <w:r>
        <w:rPr>
          <w:rFonts w:ascii="Times New Roman" w:hAnsi="Times New Roman" w:eastAsia="HY신명조"/>
          <w:sz w:val="16"/>
          <w:vertAlign w:val="subscript"/>
        </w:rPr>
        <w:t>s</w:t>
      </w:r>
      <w:r>
        <w:rPr>
          <w:rFonts w:ascii="Times New Roman" w:hAnsi="Times New Roman" w:eastAsia="HY신명조"/>
          <w:sz w:val="16"/>
        </w:rPr>
        <w:t>(350 °C)/D</w:t>
      </w:r>
      <w:r>
        <w:rPr>
          <w:rFonts w:ascii="Times New Roman" w:hAnsi="Times New Roman" w:eastAsia="HY신명조"/>
          <w:sz w:val="16"/>
          <w:vertAlign w:val="subscript"/>
        </w:rPr>
        <w:t>s</w:t>
      </w:r>
      <w:r>
        <w:rPr>
          <w:rFonts w:ascii="Times New Roman" w:hAnsi="Times New Roman" w:eastAsia="HY신명조"/>
          <w:sz w:val="16"/>
        </w:rPr>
        <w:t>(T)</w:t>
        <w:tab/>
        <w:t>(1)</w:t>
      </w:r>
    </w:p>
    <w:p>
      <w:pPr>
        <w:pStyle w:val="a3"/>
        <w:spacing w:line="288" w:lineRule="auto" w:after="0" w:before="0"/>
        <w:ind w:firstLine="180"/>
        <w:jc w:val="both"/>
      </w:pPr>
      <w:r>
        <w:rPr>
          <w:rFonts w:ascii="Times New Roman" w:hAnsi="Times New Roman" w:eastAsia="HY신명조"/>
          <w:sz w:val="18"/>
        </w:rPr>
        <w:t>D는 패드 지름, t는 어닐 시간, D</w:t>
      </w:r>
      <w:r>
        <w:rPr>
          <w:rFonts w:ascii="Times New Roman" w:hAnsi="Times New Roman" w:eastAsia="HY신명조"/>
          <w:sz w:val="18"/>
          <w:vertAlign w:val="subscript"/>
        </w:rPr>
        <w:t>s</w:t>
      </w:r>
      <w:r>
        <w:rPr>
          <w:rFonts w:ascii="Times New Roman" w:hAnsi="Times New Roman" w:eastAsia="HY신명조"/>
          <w:sz w:val="18"/>
        </w:rPr>
        <w:t>는 Cu 표면확산계수(Q = 20.7 kcal/mol</w:t>
      </w:r>
      <w:r>
        <w:rPr>
          <w:rFonts w:ascii="Times New Roman" w:hAnsi="Times New Roman" w:eastAsia="HY신명조"/>
          <w:sz w:val="18"/>
          <w:vertAlign w:val="superscript"/>
        </w:rPr>
        <w:t>[9]</w:t>
      </w:r>
      <w:r>
        <w:rPr>
          <w:rFonts w:ascii="Times New Roman" w:hAnsi="Times New Roman" w:eastAsia="HY신명조"/>
          <w:sz w:val="18"/>
        </w:rPr>
        <w:t>), τ</w:t>
      </w:r>
      <w:r>
        <w:rPr>
          <w:rFonts w:ascii="Times New Roman" w:hAnsi="Times New Roman" w:eastAsia="HY신명조"/>
          <w:sz w:val="18"/>
          <w:vertAlign w:val="subscript"/>
        </w:rPr>
        <w:t>0</w:t>
      </w:r>
      <w:r>
        <w:rPr>
          <w:rFonts w:ascii="Times New Roman" w:hAnsi="Times New Roman" w:eastAsia="HY신명조"/>
          <w:sz w:val="18"/>
        </w:rPr>
        <w:t xml:space="preserve"> = 60 s, s</w:t>
      </w:r>
      <w:r>
        <w:rPr>
          <w:rFonts w:ascii="Times New Roman" w:hAnsi="Times New Roman" w:eastAsia="HY신명조"/>
          <w:sz w:val="18"/>
          <w:vertAlign w:val="subscript"/>
        </w:rPr>
        <w:t>ox</w:t>
      </w:r>
      <w:r>
        <w:rPr>
          <w:rFonts w:ascii="Times New Roman" w:hAnsi="Times New Roman" w:eastAsia="HY신명조"/>
          <w:sz w:val="18"/>
        </w:rPr>
        <w:t>는 표면 산화 배율(청정 1, 산화 0.45</w:t>
      </w:r>
      <w:r>
        <w:rPr>
          <w:rFonts w:ascii="Times New Roman" w:hAnsi="Times New Roman" w:eastAsia="HY신명조"/>
          <w:sz w:val="18"/>
          <w:vertAlign w:val="superscript"/>
        </w:rPr>
        <w:t>[2]</w:t>
      </w:r>
      <w:r>
        <w:rPr>
          <w:rFonts w:ascii="Times New Roman" w:hAnsi="Times New Roman" w:eastAsia="HY신명조"/>
          <w:sz w:val="18"/>
        </w:rPr>
        <w:t>)이다. 방위 진폭 f(ω) = clip((ω − ω</w:t>
      </w:r>
      <w:r>
        <w:rPr>
          <w:rFonts w:ascii="Times New Roman" w:hAnsi="Times New Roman" w:eastAsia="HY신명조"/>
          <w:sz w:val="18"/>
          <w:vertAlign w:val="subscript"/>
        </w:rPr>
        <w:t>c</w:t>
      </w:r>
      <w:r>
        <w:rPr>
          <w:rFonts w:ascii="Times New Roman" w:hAnsi="Times New Roman" w:eastAsia="HY신명조"/>
          <w:sz w:val="18"/>
        </w:rPr>
        <w:t>)/Δω, 0, 1)은 패드 법선과 가장 가까운 &lt;111&gt; 사이의 각 ω로 정의한다. fcc Cu에서 {111}이 최저 표면에너지라 &lt;111&gt; 패드는 평평한 면을 유지해 곡률 구동력을 잃는다</w:t>
      </w:r>
      <w:r>
        <w:rPr>
          <w:rFonts w:ascii="Times New Roman" w:hAnsi="Times New Roman" w:eastAsia="HY신명조"/>
          <w:sz w:val="18"/>
          <w:vertAlign w:val="superscript"/>
        </w:rPr>
        <w:t>[3]</w:t>
      </w:r>
      <w:r>
        <w:rPr>
          <w:rFonts w:ascii="Times New Roman" w:hAnsi="Times New Roman" w:eastAsia="HY신명조"/>
          <w:sz w:val="18"/>
        </w:rPr>
        <w:t>. Cu 표면확산계수의 방위 이방성은 오히려 (111)이 1.5–3배 빠른 쪽이므로</w:t>
      </w:r>
      <w:r>
        <w:rPr>
          <w:rFonts w:ascii="Times New Roman" w:hAnsi="Times New Roman" w:eastAsia="HY신명조"/>
          <w:sz w:val="18"/>
          <w:vertAlign w:val="superscript"/>
        </w:rPr>
        <w:t>[9]</w:t>
      </w:r>
      <w:r>
        <w:rPr>
          <w:rFonts w:ascii="Times New Roman" w:hAnsi="Times New Roman" w:eastAsia="HY신명조"/>
          <w:sz w:val="18"/>
        </w:rPr>
        <w:t xml:space="preserve"> 꼬리는 동역학이 아니라 진폭으로 넣었다.</w:t>
      </w:r>
    </w:p>
    <w:p>
      <w:pPr>
        <w:pStyle w:val="a3"/>
        <w:spacing w:line="288" w:lineRule="auto" w:after="0" w:before="0"/>
        <w:ind w:firstLine="180"/>
        <w:jc w:val="both"/>
      </w:pPr>
      <w:r>
        <w:rPr>
          <w:rFonts w:ascii="Times New Roman" w:hAnsi="Times New Roman" w:eastAsia="HY신명조"/>
          <w:b/>
          <w:sz w:val="18"/>
        </w:rPr>
        <w:t xml:space="preserve">2.4 검증 절차와 사전등록. </w:t>
      </w:r>
      <w:r>
        <w:rPr>
          <w:rFonts w:ascii="Times New Roman" w:hAnsi="Times New Roman" w:eastAsia="HY신명조"/>
          <w:sz w:val="18"/>
        </w:rPr>
        <w:t>ASME V&amp;V 10-2019</w:t>
      </w:r>
      <w:r>
        <w:rPr>
          <w:rFonts w:ascii="Times New Roman" w:hAnsi="Times New Roman" w:eastAsia="HY신명조"/>
          <w:sz w:val="18"/>
          <w:vertAlign w:val="superscript"/>
        </w:rPr>
        <w:t>[13]</w:t>
      </w:r>
      <w:r>
        <w:rPr>
          <w:rFonts w:ascii="Times New Roman" w:hAnsi="Times New Roman" w:eastAsia="HY신명조"/>
          <w:sz w:val="18"/>
        </w:rPr>
        <w:t>의 순서(수치 검증–학습–테스트–예측, Fig. 1b)를 따랐다. 탄성 모델의 학습 데이터는 큰 패드(NYCU 9·3 µm</w:t>
      </w:r>
      <w:r>
        <w:rPr>
          <w:rFonts w:ascii="Times New Roman" w:hAnsi="Times New Roman" w:eastAsia="HY신명조"/>
          <w:sz w:val="18"/>
          <w:vertAlign w:val="superscript"/>
        </w:rPr>
        <w:t>[5]</w:t>
      </w:r>
      <w:r>
        <w:rPr>
          <w:rFonts w:ascii="Times New Roman" w:hAnsi="Times New Roman" w:eastAsia="HY신명조"/>
          <w:sz w:val="18"/>
        </w:rPr>
        <w:t>, imec 1.80·3.06 µm</w:t>
      </w:r>
      <w:r>
        <w:rPr>
          <w:rFonts w:ascii="Times New Roman" w:hAnsi="Times New Roman" w:eastAsia="HY신명조"/>
          <w:sz w:val="18"/>
          <w:vertAlign w:val="superscript"/>
        </w:rPr>
        <w:t>[2]</w:t>
      </w:r>
      <w:r>
        <w:rPr>
          <w:rFonts w:ascii="Times New Roman" w:hAnsi="Times New Roman" w:eastAsia="HY신명조"/>
          <w:sz w:val="18"/>
        </w:rPr>
        <w:t>), 테스트는 imec 1.26·0.54 µm, NYCU 1 µm</w:t>
      </w:r>
      <w:r>
        <w:rPr>
          <w:rFonts w:ascii="Times New Roman" w:hAnsi="Times New Roman" w:eastAsia="HY신명조"/>
          <w:sz w:val="18"/>
          <w:vertAlign w:val="superscript"/>
        </w:rPr>
        <w:t>[5,6]</w:t>
      </w:r>
      <w:r>
        <w:rPr>
          <w:rFonts w:ascii="Times New Roman" w:hAnsi="Times New Roman" w:eastAsia="HY신명조"/>
          <w:sz w:val="18"/>
        </w:rPr>
        <w:t>(같은 그룹이므로 한 점), 미끄럼 측벽 대조군이다(Table 1). 확산 항은 imec 2026</w:t>
      </w:r>
      <w:r>
        <w:rPr>
          <w:rFonts w:ascii="Times New Roman" w:hAnsi="Times New Roman" w:eastAsia="HY신명조"/>
          <w:sz w:val="18"/>
          <w:vertAlign w:val="superscript"/>
        </w:rPr>
        <w:t>[3]</w:t>
      </w:r>
      <w:r>
        <w:rPr>
          <w:rFonts w:ascii="Times New Roman" w:hAnsi="Times New Roman" w:eastAsia="HY신명조"/>
          <w:sz w:val="18"/>
        </w:rPr>
        <w:t>의 400 nm 피치·350 °C 한 점에서 진폭만 학습하고 나머지 17점(피치 200–500 nm, 200–450 °C, 1–4 h)으로 테스트했다(점별 허용 max(1.5 nm, 25 %, 판독 오차), 80 % 이상 통과 + 온도 경향 + 350 °C 이상 포화). 방위 항은 EBSD가 있는 500 nm 피치에서 학습했으며, 데이터를 본 뒤의 탐색(2차 라운드)으로 표기한다. 각 규칙은 결과 계산 전에 공개 저장소에 git 커밋으로 고정했고 테스트 실패 시 문서화된 개정 1회만 허용했다.</w:t>
      </w:r>
    </w:p>
    <w:p>
      <w:pPr>
        <w:pStyle w:val="a3"/>
        <w:keepNext/>
        <w:spacing w:line="288" w:lineRule="auto" w:after="20" w:before="80"/>
        <w:jc w:val="center"/>
      </w:pPr>
      <w:r>
        <w:rPr>
          <w:rFonts w:ascii="Times New Roman" w:hAnsi="Times New Roman" w:eastAsia="HY신명조"/>
          <w:sz w:val="16"/>
        </w:rPr>
        <w:t>Table 1. Datasets and their roles (pre-registered split).</w:t>
      </w:r>
    </w:p>
    <w:tbl>
      <w:tblPr>
        <w:tblW w:type="auto" w:w="0"/>
        <w:jc w:val="center"/>
        <w:tblLayout w:type="fixed"/>
        <w:tblLook w:firstColumn="1" w:firstRow="1" w:lastColumn="0" w:lastRow="0" w:noHBand="0" w:noVBand="1" w:val="04A0"/>
        <w:tblLayout w:type="fixed"/>
        <w:tblCellMar>
          <w:left w:w="45" w:type="dxa"/>
          <w:right w:w="45" w:type="dxa"/>
        </w:tblCellMar>
      </w:tblPr>
      <w:tblGrid>
        <w:gridCol w:w="2409"/>
        <w:gridCol w:w="2409"/>
        <w:gridCol w:w="2409"/>
        <w:gridCol w:w="2409"/>
      </w:tblGrid>
      <w:tr>
        <w:tc>
          <w:tcPr>
            <w:tcW w:type="dxa" w:w="1134"/>
            <w:tcBorders>
              <w:top w:val="single" w:sz="8" w:color="000000"/>
              <w:bottom w:val="nil"/>
              <w:left w:val="nil"/>
              <w:right w:val="nil"/>
            </w:tcBorders>
          </w:tcPr>
          <w:p>
            <w:pPr>
              <w:spacing w:after="0" w:line="240" w:lineRule="auto"/>
            </w:pPr>
            <w:r>
              <w:rPr>
                <w:rFonts w:ascii="Times New Roman" w:hAnsi="Times New Roman" w:eastAsia="Times New Roman"/>
                <w:b/>
                <w:sz w:val="14"/>
              </w:rPr>
              <w:t>Group / process</w:t>
            </w:r>
          </w:p>
        </w:tc>
        <w:tc>
          <w:tcPr>
            <w:tcW w:type="dxa" w:w="1247"/>
            <w:tcBorders>
              <w:top w:val="single" w:sz="8" w:color="000000"/>
              <w:bottom w:val="nil"/>
              <w:left w:val="nil"/>
              <w:right w:val="nil"/>
            </w:tcBorders>
          </w:tcPr>
          <w:p>
            <w:pPr>
              <w:spacing w:after="0" w:line="240" w:lineRule="auto"/>
            </w:pPr>
            <w:r>
              <w:rPr>
                <w:rFonts w:ascii="Times New Roman" w:hAnsi="Times New Roman" w:eastAsia="Times New Roman"/>
                <w:b/>
                <w:sz w:val="14"/>
              </w:rPr>
              <w:t>Measurement</w:t>
            </w:r>
          </w:p>
        </w:tc>
        <w:tc>
          <w:tcPr>
            <w:tcW w:type="dxa" w:w="1077"/>
            <w:tcBorders>
              <w:top w:val="single" w:sz="8" w:color="000000"/>
              <w:bottom w:val="nil"/>
              <w:left w:val="nil"/>
              <w:right w:val="nil"/>
            </w:tcBorders>
          </w:tcPr>
          <w:p>
            <w:pPr>
              <w:spacing w:after="0" w:line="240" w:lineRule="auto"/>
            </w:pPr>
            <w:r>
              <w:rPr>
                <w:rFonts w:ascii="Times New Roman" w:hAnsi="Times New Roman" w:eastAsia="Times New Roman"/>
                <w:b/>
                <w:sz w:val="14"/>
              </w:rPr>
              <w:t>Sizes</w:t>
            </w:r>
          </w:p>
        </w:tc>
        <w:tc>
          <w:tcPr>
            <w:tcW w:type="dxa" w:w="1049"/>
            <w:tcBorders>
              <w:top w:val="single" w:sz="8" w:color="000000"/>
              <w:bottom w:val="nil"/>
              <w:left w:val="nil"/>
              <w:right w:val="nil"/>
            </w:tcBorders>
          </w:tcPr>
          <w:p>
            <w:pPr>
              <w:spacing w:after="0" w:line="240" w:lineRule="auto"/>
            </w:pPr>
            <w:r>
              <w:rPr>
                <w:rFonts w:ascii="Times New Roman" w:hAnsi="Times New Roman" w:eastAsia="Times New Roman"/>
                <w:b/>
                <w:sz w:val="14"/>
              </w:rPr>
              <w:t>Role</w:t>
            </w:r>
          </w:p>
        </w:tc>
      </w:tr>
      <w:tr>
        <w:tc>
          <w:tcPr>
            <w:tcW w:type="dxa" w:w="1134"/>
            <w:tcBorders>
              <w:top w:val="single" w:sz="4" w:color="000000"/>
              <w:bottom w:val="nil"/>
              <w:left w:val="nil"/>
              <w:right w:val="nil"/>
            </w:tcBorders>
          </w:tcPr>
          <w:p>
            <w:pPr>
              <w:spacing w:after="0" w:line="240" w:lineRule="auto"/>
            </w:pPr>
            <w:r>
              <w:rPr>
                <w:rFonts w:ascii="Times New Roman" w:hAnsi="Times New Roman" w:eastAsia="Times New Roman"/>
                <w:b w:val="0"/>
                <w:sz w:val="14"/>
              </w:rPr>
              <w:t xml:space="preserve">NYCU </w:t>
            </w:r>
            <w:r>
              <w:rPr>
                <w:rFonts w:ascii="Times New Roman" w:hAnsi="Times New Roman" w:eastAsia="Times New Roman"/>
                <w:b w:val="0"/>
                <w:sz w:val="14"/>
                <w:vertAlign w:val="superscript"/>
              </w:rPr>
              <w:t>[5,6]</w:t>
            </w:r>
            <w:r>
              <w:rPr>
                <w:rFonts w:ascii="Times New Roman" w:hAnsi="Times New Roman" w:eastAsia="Times New Roman"/>
                <w:b w:val="0"/>
                <w:sz w:val="14"/>
              </w:rPr>
              <w:t>, Cu/SiO2</w:t>
            </w:r>
          </w:p>
        </w:tc>
        <w:tc>
          <w:tcPr>
            <w:tcW w:type="dxa" w:w="1247"/>
            <w:tcBorders>
              <w:top w:val="single" w:sz="4" w:color="000000"/>
              <w:bottom w:val="nil"/>
              <w:left w:val="nil"/>
              <w:right w:val="nil"/>
            </w:tcBorders>
          </w:tcPr>
          <w:p>
            <w:pPr>
              <w:spacing w:after="0" w:line="240" w:lineRule="auto"/>
            </w:pPr>
            <w:r>
              <w:rPr>
                <w:rFonts w:ascii="Times New Roman" w:hAnsi="Times New Roman" w:eastAsia="Times New Roman"/>
                <w:b w:val="0"/>
                <w:sz w:val="14"/>
              </w:rPr>
              <w:t>in-situ AFM u(T), 25–200 °C</w:t>
            </w:r>
          </w:p>
        </w:tc>
        <w:tc>
          <w:tcPr>
            <w:tcW w:type="dxa" w:w="1077"/>
            <w:tcBorders>
              <w:top w:val="single" w:sz="4" w:color="000000"/>
              <w:bottom w:val="nil"/>
              <w:left w:val="nil"/>
              <w:right w:val="nil"/>
            </w:tcBorders>
          </w:tcPr>
          <w:p>
            <w:pPr>
              <w:spacing w:after="0" w:line="240" w:lineRule="auto"/>
            </w:pPr>
            <w:r>
              <w:rPr>
                <w:rFonts w:ascii="Times New Roman" w:hAnsi="Times New Roman" w:eastAsia="Times New Roman"/>
                <w:b w:val="0"/>
                <w:sz w:val="14"/>
              </w:rPr>
              <w:t>9, 3, 1 µm</w:t>
            </w:r>
          </w:p>
        </w:tc>
        <w:tc>
          <w:tcPr>
            <w:tcW w:type="dxa" w:w="1049"/>
            <w:tcBorders>
              <w:top w:val="single" w:sz="4" w:color="000000"/>
              <w:bottom w:val="nil"/>
              <w:left w:val="nil"/>
              <w:right w:val="nil"/>
            </w:tcBorders>
          </w:tcPr>
          <w:p>
            <w:pPr>
              <w:spacing w:after="0" w:line="240" w:lineRule="auto"/>
            </w:pPr>
            <w:r>
              <w:rPr>
                <w:rFonts w:ascii="Times New Roman" w:hAnsi="Times New Roman" w:eastAsia="Times New Roman"/>
                <w:b w:val="0"/>
                <w:sz w:val="14"/>
              </w:rPr>
              <w:t>train 9, 3; test 1</w:t>
            </w:r>
          </w:p>
        </w:tc>
      </w:tr>
      <w:tr>
        <w:tc>
          <w:tcPr>
            <w:tcW w:type="dxa" w:w="1134"/>
            <w:tcBorders>
              <w:top w:val="nil"/>
              <w:bottom w:val="nil"/>
              <w:left w:val="nil"/>
              <w:right w:val="nil"/>
            </w:tcBorders>
          </w:tcPr>
          <w:p>
            <w:pPr>
              <w:spacing w:after="0" w:line="240" w:lineRule="auto"/>
            </w:pPr>
            <w:r>
              <w:rPr>
                <w:rFonts w:ascii="Times New Roman" w:hAnsi="Times New Roman" w:eastAsia="Times New Roman"/>
                <w:b w:val="0"/>
                <w:sz w:val="14"/>
              </w:rPr>
              <w:t xml:space="preserve">imec </w:t>
            </w:r>
            <w:r>
              <w:rPr>
                <w:rFonts w:ascii="Times New Roman" w:hAnsi="Times New Roman" w:eastAsia="Times New Roman"/>
                <w:b w:val="0"/>
                <w:sz w:val="14"/>
                <w:vertAlign w:val="superscript"/>
              </w:rPr>
              <w:t>[2,11]</w:t>
            </w:r>
            <w:r>
              <w:rPr>
                <w:rFonts w:ascii="Times New Roman" w:hAnsi="Times New Roman" w:eastAsia="Times New Roman"/>
                <w:b w:val="0"/>
                <w:sz w:val="14"/>
              </w:rPr>
              <w:t>, Cu/SiCN</w:t>
            </w:r>
          </w:p>
        </w:tc>
        <w:tc>
          <w:tcPr>
            <w:tcW w:type="dxa" w:w="1247"/>
            <w:tcBorders>
              <w:top w:val="nil"/>
              <w:bottom w:val="nil"/>
              <w:left w:val="nil"/>
              <w:right w:val="nil"/>
            </w:tcBorders>
          </w:tcPr>
          <w:p>
            <w:pPr>
              <w:spacing w:after="0" w:line="240" w:lineRule="auto"/>
            </w:pPr>
            <w:r>
              <w:rPr>
                <w:rFonts w:ascii="Times New Roman" w:hAnsi="Times New Roman" w:eastAsia="Times New Roman"/>
                <w:b w:val="0"/>
                <w:sz w:val="14"/>
              </w:rPr>
              <w:t>in-situ SPM u(T), 100–400 °C</w:t>
            </w:r>
          </w:p>
        </w:tc>
        <w:tc>
          <w:tcPr>
            <w:tcW w:type="dxa" w:w="1077"/>
            <w:tcBorders>
              <w:top w:val="nil"/>
              <w:bottom w:val="nil"/>
              <w:left w:val="nil"/>
              <w:right w:val="nil"/>
            </w:tcBorders>
          </w:tcPr>
          <w:p>
            <w:pPr>
              <w:spacing w:after="0" w:line="240" w:lineRule="auto"/>
            </w:pPr>
            <w:r>
              <w:rPr>
                <w:rFonts w:ascii="Times New Roman" w:hAnsi="Times New Roman" w:eastAsia="Times New Roman"/>
                <w:b w:val="0"/>
                <w:sz w:val="14"/>
              </w:rPr>
              <w:t>3.06, 1.80, 1.26, 0.54 µm</w:t>
            </w:r>
          </w:p>
        </w:tc>
        <w:tc>
          <w:tcPr>
            <w:tcW w:type="dxa" w:w="1049"/>
            <w:tcBorders>
              <w:top w:val="nil"/>
              <w:bottom w:val="nil"/>
              <w:left w:val="nil"/>
              <w:right w:val="nil"/>
            </w:tcBorders>
          </w:tcPr>
          <w:p>
            <w:pPr>
              <w:spacing w:after="0" w:line="240" w:lineRule="auto"/>
            </w:pPr>
            <w:r>
              <w:rPr>
                <w:rFonts w:ascii="Times New Roman" w:hAnsi="Times New Roman" w:eastAsia="Times New Roman"/>
                <w:b w:val="0"/>
                <w:sz w:val="14"/>
              </w:rPr>
              <w:t>train 3.06, 1.80; test 1.26, 0.54</w:t>
            </w:r>
          </w:p>
        </w:tc>
      </w:tr>
      <w:tr>
        <w:tc>
          <w:tcPr>
            <w:tcW w:type="dxa" w:w="1134"/>
            <w:tcBorders>
              <w:top w:val="nil"/>
              <w:bottom w:val="nil"/>
              <w:left w:val="nil"/>
              <w:right w:val="nil"/>
            </w:tcBorders>
          </w:tcPr>
          <w:p>
            <w:pPr>
              <w:spacing w:after="0" w:line="240" w:lineRule="auto"/>
            </w:pPr>
            <w:r>
              <w:rPr>
                <w:rFonts w:ascii="Times New Roman" w:hAnsi="Times New Roman" w:eastAsia="Times New Roman"/>
                <w:b w:val="0"/>
                <w:sz w:val="14"/>
              </w:rPr>
              <w:t xml:space="preserve">imec 2026 </w:t>
            </w:r>
            <w:r>
              <w:rPr>
                <w:rFonts w:ascii="Times New Roman" w:hAnsi="Times New Roman" w:eastAsia="Times New Roman"/>
                <w:b w:val="0"/>
                <w:sz w:val="14"/>
                <w:vertAlign w:val="superscript"/>
              </w:rPr>
              <w:t>[3]</w:t>
            </w:r>
            <w:r>
              <w:rPr>
                <w:rFonts w:ascii="Times New Roman" w:hAnsi="Times New Roman" w:eastAsia="Times New Roman"/>
                <w:b w:val="0"/>
                <w:sz w:val="14"/>
              </w:rPr>
              <w:t>, Cu/SiCN</w:t>
            </w:r>
          </w:p>
        </w:tc>
        <w:tc>
          <w:tcPr>
            <w:tcW w:type="dxa" w:w="1247"/>
            <w:tcBorders>
              <w:top w:val="nil"/>
              <w:bottom w:val="nil"/>
              <w:left w:val="nil"/>
              <w:right w:val="nil"/>
            </w:tcBorders>
          </w:tcPr>
          <w:p>
            <w:pPr>
              <w:spacing w:after="0" w:line="240" w:lineRule="auto"/>
            </w:pPr>
            <w:r>
              <w:rPr>
                <w:rFonts w:ascii="Times New Roman" w:hAnsi="Times New Roman" w:eastAsia="Times New Roman"/>
                <w:b w:val="0"/>
                <w:sz w:val="14"/>
              </w:rPr>
              <w:t>post-bond AFM Δh_max distributions, EBSD</w:t>
            </w:r>
          </w:p>
        </w:tc>
        <w:tc>
          <w:tcPr>
            <w:tcW w:type="dxa" w:w="1077"/>
            <w:tcBorders>
              <w:top w:val="nil"/>
              <w:bottom w:val="nil"/>
              <w:left w:val="nil"/>
              <w:right w:val="nil"/>
            </w:tcBorders>
          </w:tcPr>
          <w:p>
            <w:pPr>
              <w:spacing w:after="0" w:line="240" w:lineRule="auto"/>
            </w:pPr>
            <w:r>
              <w:rPr>
                <w:rFonts w:ascii="Times New Roman" w:hAnsi="Times New Roman" w:eastAsia="Times New Roman"/>
                <w:b w:val="0"/>
                <w:sz w:val="14"/>
              </w:rPr>
              <w:t>D 115–300 nm, 200–450 °C, 1–4 h</w:t>
            </w:r>
          </w:p>
        </w:tc>
        <w:tc>
          <w:tcPr>
            <w:tcW w:type="dxa" w:w="1049"/>
            <w:tcBorders>
              <w:top w:val="nil"/>
              <w:bottom w:val="nil"/>
              <w:left w:val="nil"/>
              <w:right w:val="nil"/>
            </w:tcBorders>
          </w:tcPr>
          <w:p>
            <w:pPr>
              <w:spacing w:after="0" w:line="240" w:lineRule="auto"/>
            </w:pPr>
            <w:r>
              <w:rPr>
                <w:rFonts w:ascii="Times New Roman" w:hAnsi="Times New Roman" w:eastAsia="Times New Roman"/>
                <w:b w:val="0"/>
                <w:sz w:val="14"/>
              </w:rPr>
              <w:t>diffusion: train 1, test 17</w:t>
            </w:r>
          </w:p>
        </w:tc>
      </w:tr>
      <w:tr>
        <w:tc>
          <w:tcPr>
            <w:tcW w:type="dxa" w:w="1134"/>
            <w:tcBorders>
              <w:top w:val="nil"/>
              <w:bottom w:val="nil"/>
              <w:left w:val="nil"/>
              <w:right w:val="nil"/>
            </w:tcBorders>
          </w:tcPr>
          <w:p>
            <w:pPr>
              <w:spacing w:after="0" w:line="240" w:lineRule="auto"/>
            </w:pPr>
            <w:r>
              <w:rPr>
                <w:rFonts w:ascii="Times New Roman" w:hAnsi="Times New Roman" w:eastAsia="Times New Roman"/>
                <w:b w:val="0"/>
                <w:sz w:val="14"/>
              </w:rPr>
              <w:t xml:space="preserve">ST/Leti </w:t>
            </w:r>
            <w:r>
              <w:rPr>
                <w:rFonts w:ascii="Times New Roman" w:hAnsi="Times New Roman" w:eastAsia="Times New Roman"/>
                <w:b w:val="0"/>
                <w:sz w:val="14"/>
                <w:vertAlign w:val="superscript"/>
              </w:rPr>
              <w:t>[4,14]</w:t>
            </w:r>
            <w:r>
              <w:rPr>
                <w:rFonts w:ascii="Times New Roman" w:hAnsi="Times New Roman" w:eastAsia="Times New Roman"/>
                <w:b w:val="0"/>
                <w:sz w:val="14"/>
              </w:rPr>
              <w:t>, Cu/SiO2</w:t>
            </w:r>
          </w:p>
        </w:tc>
        <w:tc>
          <w:tcPr>
            <w:tcW w:type="dxa" w:w="1247"/>
            <w:tcBorders>
              <w:top w:val="nil"/>
              <w:bottom w:val="nil"/>
              <w:left w:val="nil"/>
              <w:right w:val="nil"/>
            </w:tcBorders>
          </w:tcPr>
          <w:p>
            <w:pPr>
              <w:spacing w:after="0" w:line="240" w:lineRule="auto"/>
            </w:pPr>
            <w:r>
              <w:rPr>
                <w:rFonts w:ascii="Times New Roman" w:hAnsi="Times New Roman" w:eastAsia="Times New Roman"/>
                <w:b w:val="0"/>
                <w:sz w:val="14"/>
              </w:rPr>
              <w:t>Laue ε′zz(T)</w:t>
            </w:r>
          </w:p>
        </w:tc>
        <w:tc>
          <w:tcPr>
            <w:tcW w:type="dxa" w:w="1077"/>
            <w:tcBorders>
              <w:top w:val="nil"/>
              <w:bottom w:val="nil"/>
              <w:left w:val="nil"/>
              <w:right w:val="nil"/>
            </w:tcBorders>
          </w:tcPr>
          <w:p>
            <w:pPr>
              <w:spacing w:after="0" w:line="240" w:lineRule="auto"/>
            </w:pPr>
            <w:r>
              <w:rPr>
                <w:rFonts w:ascii="Times New Roman" w:hAnsi="Times New Roman" w:eastAsia="Times New Roman"/>
                <w:b w:val="0"/>
                <w:sz w:val="14"/>
              </w:rPr>
              <w:t>0.3, 3 µm</w:t>
            </w:r>
          </w:p>
        </w:tc>
        <w:tc>
          <w:tcPr>
            <w:tcW w:type="dxa" w:w="1049"/>
            <w:tcBorders>
              <w:top w:val="nil"/>
              <w:bottom w:val="nil"/>
              <w:left w:val="nil"/>
              <w:right w:val="nil"/>
            </w:tcBorders>
          </w:tcPr>
          <w:p>
            <w:pPr>
              <w:spacing w:after="0" w:line="240" w:lineRule="auto"/>
            </w:pPr>
            <w:r>
              <w:rPr>
                <w:rFonts w:ascii="Times New Roman" w:hAnsi="Times New Roman" w:eastAsia="Times New Roman"/>
                <w:b w:val="0"/>
                <w:sz w:val="14"/>
              </w:rPr>
              <w:t>comparison (sign)</w:t>
            </w:r>
          </w:p>
        </w:tc>
      </w:tr>
      <w:tr>
        <w:tc>
          <w:tcPr>
            <w:tcW w:type="dxa" w:w="1134"/>
            <w:tcBorders>
              <w:top w:val="nil"/>
              <w:bottom w:val="single" w:sz="8" w:color="000000"/>
              <w:left w:val="nil"/>
              <w:right w:val="nil"/>
            </w:tcBorders>
          </w:tcPr>
          <w:p>
            <w:pPr>
              <w:spacing w:after="0" w:line="240" w:lineRule="auto"/>
            </w:pPr>
            <w:r>
              <w:rPr>
                <w:rFonts w:ascii="Times New Roman" w:hAnsi="Times New Roman" w:eastAsia="Times New Roman"/>
                <w:b w:val="0"/>
                <w:sz w:val="14"/>
              </w:rPr>
              <w:t xml:space="preserve">imec IRPS 2026 </w:t>
            </w:r>
            <w:r>
              <w:rPr>
                <w:rFonts w:ascii="Times New Roman" w:hAnsi="Times New Roman" w:eastAsia="Times New Roman"/>
                <w:b w:val="0"/>
                <w:sz w:val="14"/>
                <w:vertAlign w:val="superscript"/>
              </w:rPr>
              <w:t>[10]</w:t>
            </w:r>
          </w:p>
        </w:tc>
        <w:tc>
          <w:tcPr>
            <w:tcW w:type="dxa" w:w="1247"/>
            <w:tcBorders>
              <w:top w:val="nil"/>
              <w:bottom w:val="single" w:sz="8" w:color="000000"/>
              <w:left w:val="nil"/>
              <w:right w:val="nil"/>
            </w:tcBorders>
          </w:tcPr>
          <w:p>
            <w:pPr>
              <w:spacing w:after="0" w:line="240" w:lineRule="auto"/>
            </w:pPr>
            <w:r>
              <w:rPr>
                <w:rFonts w:ascii="Times New Roman" w:hAnsi="Times New Roman" w:eastAsia="Times New Roman"/>
                <w:b w:val="0"/>
                <w:sz w:val="14"/>
              </w:rPr>
              <w:t>recess distribution</w:t>
            </w:r>
          </w:p>
        </w:tc>
        <w:tc>
          <w:tcPr>
            <w:tcW w:type="dxa" w:w="1077"/>
            <w:tcBorders>
              <w:top w:val="nil"/>
              <w:bottom w:val="single" w:sz="8" w:color="000000"/>
              <w:left w:val="nil"/>
              <w:right w:val="nil"/>
            </w:tcBorders>
          </w:tcPr>
          <w:p>
            <w:pPr>
              <w:spacing w:after="0" w:line="240" w:lineRule="auto"/>
            </w:pPr>
            <w:r>
              <w:rPr>
                <w:rFonts w:ascii="Times New Roman" w:hAnsi="Times New Roman" w:eastAsia="Times New Roman"/>
                <w:b w:val="0"/>
                <w:sz w:val="14"/>
              </w:rPr>
              <w:t>≤ 1 µm</w:t>
            </w:r>
          </w:p>
        </w:tc>
        <w:tc>
          <w:tcPr>
            <w:tcW w:type="dxa" w:w="1049"/>
            <w:tcBorders>
              <w:top w:val="nil"/>
              <w:bottom w:val="single" w:sz="8" w:color="000000"/>
              <w:left w:val="nil"/>
              <w:right w:val="nil"/>
            </w:tcBorders>
          </w:tcPr>
          <w:p>
            <w:pPr>
              <w:spacing w:after="0" w:line="240" w:lineRule="auto"/>
            </w:pPr>
            <w:r>
              <w:rPr>
                <w:rFonts w:ascii="Times New Roman" w:hAnsi="Times New Roman" w:eastAsia="Times New Roman"/>
                <w:b w:val="0"/>
                <w:sz w:val="14"/>
              </w:rPr>
              <w:t>input N(2.5, 0.5²) nm/pad</w:t>
            </w:r>
          </w:p>
        </w:tc>
      </w:tr>
    </w:tbl>
    <w:p>
      <w:pPr>
        <w:pStyle w:val="a3"/>
        <w:spacing w:line="288" w:lineRule="auto" w:after="0" w:before="0"/>
        <w:jc w:val="both"/>
      </w:pPr>
    </w:p>
    <w:p>
      <w:pPr>
        <w:pStyle w:val="a3"/>
        <w:spacing w:line="288" w:lineRule="auto" w:after="60" w:before="120"/>
        <w:jc w:val="center"/>
      </w:pPr>
      <w:r>
        <w:rPr>
          <w:rFonts w:ascii="Times New Roman" w:hAnsi="Times New Roman" w:eastAsia="HY신명조"/>
          <w:sz w:val="24"/>
        </w:rPr>
        <w:t>III. 결과</w:t>
      </w:r>
    </w:p>
    <w:p>
      <w:pPr>
        <w:pStyle w:val="a3"/>
        <w:spacing w:line="288" w:lineRule="auto" w:after="0" w:before="0"/>
        <w:ind w:firstLine="180"/>
        <w:jc w:val="both"/>
      </w:pPr>
      <w:r>
        <w:rPr>
          <w:rFonts w:ascii="Times New Roman" w:hAnsi="Times New Roman" w:eastAsia="HY신명조"/>
          <w:b/>
          <w:sz w:val="18"/>
        </w:rPr>
        <w:t xml:space="preserve">3.1 열탄성 모델과 기구 전환. </w:t>
      </w:r>
      <w:r>
        <w:rPr>
          <w:rFonts w:ascii="Times New Roman" w:hAnsi="Times New Roman" w:eastAsia="HY신명조"/>
          <w:sz w:val="18"/>
        </w:rPr>
        <w:t>Table 2에 결과를 요약했다. 학습값은 모두 문헌 범위의 끝에 걸렸고(bound-limited), imec 3.06 µm는 300–400 °C에서 측정의 초선형 증가를 따라가지 못해 학습 단계에서 실패로 기록했다. 테스트에서 NYCU 1 µm(모델 1.79–1.94 nm, 실측 2.1 ± 0.4 nm)와 imec 1.26·0.54 µm의 100–200 °C는 통과했고, 1.26 µm 300–400 °C는 과소예측으로 실패했다. 미끄럼 측벽 대조군은 1 µm에서 1.7배, 0.54 µm에서 3.5배 과대예측하여 측벽이 접합 상태임이 판별되었다. 그러나 imec 0.54 µm는 100–400 °C 전 구간에서 측정/모델 비 0.61–0.69로 과대예측했고(400 °C에서 +46 %), 사전 기준에 따라 0.54 µm 탄성 모델은 NOT VALIDATED로 동결했다. 이 결과를 recess와 함께 놓으면 기구 전환이 드러난다(Fig. 2). recess 합을 IRPS 2026 실측 평균 5 nm</w:t>
      </w:r>
      <w:r>
        <w:rPr>
          <w:rFonts w:ascii="Times New Roman" w:hAnsi="Times New Roman" w:eastAsia="HY신명조"/>
          <w:sz w:val="18"/>
          <w:vertAlign w:val="superscript"/>
        </w:rPr>
        <w:t>[10]</w:t>
      </w:r>
      <w:r>
        <w:rPr>
          <w:rFonts w:ascii="Times New Roman" w:hAnsi="Times New Roman" w:eastAsia="HY신명조"/>
          <w:sz w:val="18"/>
        </w:rPr>
        <w:t>로 고정하고, 크기별 열탄성 돌출을 공정 상한 400 °C에서 취해 위·아래 합 2u가 5 nm를 넘는 최소 크기를 log(크기) 보간으로 구했다. 실측 기준 0.70 µm(0.54 µm에서 2.8 nm, 1.26 µm에서 10 nm 사이), 모델 기준 0.66 µm(b = 1)–1.06 µm(b = 0.69)이다. 그 아래에서는 400 °C에서도 탄성만으로 접촉이 안 되며(300 nm: 패드당 ≈ 1 nm), 200–400 nm 피치 본딩이 실제로 성립하는 것</w:t>
      </w:r>
      <w:r>
        <w:rPr>
          <w:rFonts w:ascii="Times New Roman" w:hAnsi="Times New Roman" w:eastAsia="HY신명조"/>
          <w:sz w:val="18"/>
          <w:vertAlign w:val="superscript"/>
        </w:rPr>
        <w:t>[1]</w:t>
      </w:r>
      <w:r>
        <w:rPr>
          <w:rFonts w:ascii="Times New Roman" w:hAnsi="Times New Roman" w:eastAsia="HY신명조"/>
          <w:sz w:val="18"/>
        </w:rPr>
        <w:t>은 표면확산이 틈을 메운다는 뜻이다. 전환 크기는 recess 합의 함수이다(Fig. 2 인셋).</w:t>
      </w:r>
    </w:p>
    <w:p>
      <w:pPr>
        <w:pStyle w:val="a3"/>
        <w:keepNext/>
        <w:spacing w:line="288" w:lineRule="auto" w:after="20" w:before="80"/>
        <w:jc w:val="center"/>
      </w:pPr>
      <w:r>
        <w:rPr>
          <w:rFonts w:ascii="Times New Roman" w:hAnsi="Times New Roman" w:eastAsia="HY신명조"/>
          <w:sz w:val="16"/>
        </w:rPr>
        <w:t>Table 2. Elastic-model train/test (array cell, bonded sidewall).</w:t>
      </w:r>
    </w:p>
    <w:tbl>
      <w:tblPr>
        <w:tblW w:type="auto" w:w="0"/>
        <w:jc w:val="center"/>
        <w:tblLayout w:type="fixed"/>
        <w:tblLook w:firstColumn="1" w:firstRow="1" w:lastColumn="0" w:lastRow="0" w:noHBand="0" w:noVBand="1" w:val="04A0"/>
        <w:tblLayout w:type="fixed"/>
        <w:tblCellMar>
          <w:left w:w="45" w:type="dxa"/>
          <w:right w:w="45" w:type="dxa"/>
        </w:tblCellMar>
      </w:tblPr>
      <w:tblGrid>
        <w:gridCol w:w="1928"/>
        <w:gridCol w:w="1928"/>
        <w:gridCol w:w="1928"/>
        <w:gridCol w:w="1928"/>
        <w:gridCol w:w="1928"/>
      </w:tblGrid>
      <w:tr>
        <w:tc>
          <w:tcPr>
            <w:tcW w:type="dxa" w:w="1502"/>
            <w:tcBorders>
              <w:top w:val="single" w:sz="8" w:color="000000"/>
              <w:bottom w:val="nil"/>
              <w:left w:val="nil"/>
              <w:right w:val="nil"/>
            </w:tcBorders>
          </w:tcPr>
          <w:p>
            <w:pPr>
              <w:spacing w:after="0" w:line="240" w:lineRule="auto"/>
            </w:pPr>
            <w:r>
              <w:rPr>
                <w:rFonts w:ascii="Times New Roman" w:hAnsi="Times New Roman" w:eastAsia="Times New Roman"/>
                <w:b/>
                <w:sz w:val="14"/>
              </w:rPr>
              <w:t>Case</w:t>
            </w:r>
          </w:p>
        </w:tc>
        <w:tc>
          <w:tcPr>
            <w:tcW w:type="dxa" w:w="822"/>
            <w:tcBorders>
              <w:top w:val="single" w:sz="8" w:color="000000"/>
              <w:bottom w:val="nil"/>
              <w:left w:val="nil"/>
              <w:right w:val="nil"/>
            </w:tcBorders>
          </w:tcPr>
          <w:p>
            <w:pPr>
              <w:spacing w:after="0" w:line="240" w:lineRule="auto"/>
            </w:pPr>
            <w:r>
              <w:rPr>
                <w:rFonts w:ascii="Times New Roman" w:hAnsi="Times New Roman" w:eastAsia="Times New Roman"/>
                <w:b/>
                <w:sz w:val="14"/>
              </w:rPr>
              <w:t>Model (nm)</w:t>
            </w:r>
          </w:p>
        </w:tc>
        <w:tc>
          <w:tcPr>
            <w:tcW w:type="dxa" w:w="879"/>
            <w:tcBorders>
              <w:top w:val="single" w:sz="8" w:color="000000"/>
              <w:bottom w:val="nil"/>
              <w:left w:val="nil"/>
              <w:right w:val="nil"/>
            </w:tcBorders>
          </w:tcPr>
          <w:p>
            <w:pPr>
              <w:spacing w:after="0" w:line="240" w:lineRule="auto"/>
            </w:pPr>
            <w:r>
              <w:rPr>
                <w:rFonts w:ascii="Times New Roman" w:hAnsi="Times New Roman" w:eastAsia="Times New Roman"/>
                <w:b/>
                <w:sz w:val="14"/>
              </w:rPr>
              <w:t>Measured (nm)</w:t>
            </w:r>
          </w:p>
        </w:tc>
        <w:tc>
          <w:tcPr>
            <w:tcW w:type="dxa" w:w="652"/>
            <w:tcBorders>
              <w:top w:val="single" w:sz="8" w:color="000000"/>
              <w:bottom w:val="nil"/>
              <w:left w:val="nil"/>
              <w:right w:val="nil"/>
            </w:tcBorders>
          </w:tcPr>
          <w:p>
            <w:pPr>
              <w:spacing w:after="0" w:line="240" w:lineRule="auto"/>
            </w:pPr>
            <w:r>
              <w:rPr>
                <w:rFonts w:ascii="Times New Roman" w:hAnsi="Times New Roman" w:eastAsia="Times New Roman"/>
                <w:b/>
                <w:sz w:val="14"/>
              </w:rPr>
              <w:t>Rule</w:t>
            </w:r>
          </w:p>
        </w:tc>
        <w:tc>
          <w:tcPr>
            <w:tcW w:type="dxa" w:w="510"/>
            <w:tcBorders>
              <w:top w:val="single" w:sz="8" w:color="000000"/>
              <w:bottom w:val="nil"/>
              <w:left w:val="nil"/>
              <w:right w:val="nil"/>
            </w:tcBorders>
          </w:tcPr>
          <w:p>
            <w:pPr>
              <w:spacing w:after="0" w:line="240" w:lineRule="auto"/>
            </w:pPr>
            <w:r>
              <w:rPr>
                <w:rFonts w:ascii="Times New Roman" w:hAnsi="Times New Roman" w:eastAsia="Times New Roman"/>
                <w:b/>
                <w:sz w:val="14"/>
              </w:rPr>
              <w:t>Result</w:t>
            </w:r>
          </w:p>
        </w:tc>
      </w:tr>
      <w:tr>
        <w:tc>
          <w:tcPr>
            <w:tcW w:type="dxa" w:w="1502"/>
            <w:tcBorders>
              <w:top w:val="single" w:sz="4" w:color="000000"/>
              <w:bottom w:val="nil"/>
              <w:left w:val="nil"/>
              <w:right w:val="nil"/>
            </w:tcBorders>
          </w:tcPr>
          <w:p>
            <w:pPr>
              <w:spacing w:after="0" w:line="240" w:lineRule="auto"/>
            </w:pPr>
            <w:r>
              <w:rPr>
                <w:rFonts w:ascii="Times New Roman" w:hAnsi="Times New Roman" w:eastAsia="Times New Roman"/>
                <w:b w:val="0"/>
                <w:sz w:val="14"/>
              </w:rPr>
              <w:t>NYCU 9 / 3 µm, 200 °C (train)</w:t>
            </w:r>
          </w:p>
        </w:tc>
        <w:tc>
          <w:tcPr>
            <w:tcW w:type="dxa" w:w="822"/>
            <w:tcBorders>
              <w:top w:val="single" w:sz="4" w:color="000000"/>
              <w:bottom w:val="nil"/>
              <w:left w:val="nil"/>
              <w:right w:val="nil"/>
            </w:tcBorders>
          </w:tcPr>
          <w:p>
            <w:pPr>
              <w:spacing w:after="0" w:line="240" w:lineRule="auto"/>
            </w:pPr>
            <w:r>
              <w:rPr>
                <w:rFonts w:ascii="Times New Roman" w:hAnsi="Times New Roman" w:eastAsia="Times New Roman"/>
                <w:b w:val="0"/>
                <w:sz w:val="14"/>
              </w:rPr>
              <w:t>6.87 / 4.26</w:t>
            </w:r>
          </w:p>
        </w:tc>
        <w:tc>
          <w:tcPr>
            <w:tcW w:type="dxa" w:w="879"/>
            <w:tcBorders>
              <w:top w:val="single" w:sz="4" w:color="000000"/>
              <w:bottom w:val="nil"/>
              <w:left w:val="nil"/>
              <w:right w:val="nil"/>
            </w:tcBorders>
          </w:tcPr>
          <w:p>
            <w:pPr>
              <w:spacing w:after="0" w:line="240" w:lineRule="auto"/>
            </w:pPr>
            <w:r>
              <w:rPr>
                <w:rFonts w:ascii="Times New Roman" w:hAnsi="Times New Roman" w:eastAsia="Times New Roman"/>
                <w:b w:val="0"/>
                <w:sz w:val="14"/>
              </w:rPr>
              <w:t>6.4 / 4.1 ± 0.4</w:t>
            </w:r>
          </w:p>
        </w:tc>
        <w:tc>
          <w:tcPr>
            <w:tcW w:type="dxa" w:w="652"/>
            <w:tcBorders>
              <w:top w:val="single" w:sz="4" w:color="000000"/>
              <w:bottom w:val="nil"/>
              <w:left w:val="nil"/>
              <w:right w:val="nil"/>
            </w:tcBorders>
          </w:tcPr>
          <w:p>
            <w:pPr>
              <w:spacing w:after="0" w:line="240" w:lineRule="auto"/>
            </w:pPr>
            <w:r>
              <w:rPr>
                <w:rFonts w:ascii="Times New Roman" w:hAnsi="Times New Roman" w:eastAsia="Times New Roman"/>
                <w:b w:val="0"/>
                <w:sz w:val="14"/>
              </w:rPr>
              <w:t>2σ</w:t>
            </w:r>
          </w:p>
        </w:tc>
        <w:tc>
          <w:tcPr>
            <w:tcW w:type="dxa" w:w="510"/>
            <w:tcBorders>
              <w:top w:val="single" w:sz="4" w:color="000000"/>
              <w:bottom w:val="nil"/>
              <w:left w:val="nil"/>
              <w:right w:val="nil"/>
            </w:tcBorders>
          </w:tcPr>
          <w:p>
            <w:pPr>
              <w:spacing w:after="0" w:line="240" w:lineRule="auto"/>
            </w:pPr>
            <w:r>
              <w:rPr>
                <w:rFonts w:ascii="Times New Roman" w:hAnsi="Times New Roman" w:eastAsia="Times New Roman"/>
                <w:b w:val="0"/>
                <w:sz w:val="14"/>
              </w:rPr>
              <w:t>pass</w:t>
            </w:r>
          </w:p>
        </w:tc>
      </w:tr>
      <w:tr>
        <w:tc>
          <w:tcPr>
            <w:tcW w:type="dxa" w:w="1502"/>
            <w:tcBorders>
              <w:top w:val="nil"/>
              <w:bottom w:val="nil"/>
              <w:left w:val="nil"/>
              <w:right w:val="nil"/>
            </w:tcBorders>
          </w:tcPr>
          <w:p>
            <w:pPr>
              <w:spacing w:after="0" w:line="240" w:lineRule="auto"/>
            </w:pPr>
            <w:r>
              <w:rPr>
                <w:rFonts w:ascii="Times New Roman" w:hAnsi="Times New Roman" w:eastAsia="Times New Roman"/>
                <w:b w:val="0"/>
                <w:sz w:val="14"/>
              </w:rPr>
              <w:t>imec 1.80 µm, 100–400 °C (train)</w:t>
            </w:r>
          </w:p>
        </w:tc>
        <w:tc>
          <w:tcPr>
            <w:tcW w:type="dxa" w:w="822"/>
            <w:tcBorders>
              <w:top w:val="nil"/>
              <w:bottom w:val="nil"/>
              <w:left w:val="nil"/>
              <w:right w:val="nil"/>
            </w:tcBorders>
          </w:tcPr>
          <w:p>
            <w:pPr>
              <w:spacing w:after="0" w:line="240" w:lineRule="auto"/>
            </w:pPr>
            <w:r>
              <w:rPr>
                <w:rFonts w:ascii="Times New Roman" w:hAnsi="Times New Roman" w:eastAsia="Times New Roman"/>
                <w:b w:val="0"/>
                <w:sz w:val="14"/>
              </w:rPr>
              <w:t>1.00–4.99</w:t>
            </w:r>
          </w:p>
        </w:tc>
        <w:tc>
          <w:tcPr>
            <w:tcW w:type="dxa" w:w="879"/>
            <w:tcBorders>
              <w:top w:val="nil"/>
              <w:bottom w:val="nil"/>
              <w:left w:val="nil"/>
              <w:right w:val="nil"/>
            </w:tcBorders>
          </w:tcPr>
          <w:p>
            <w:pPr>
              <w:spacing w:after="0" w:line="240" w:lineRule="auto"/>
            </w:pPr>
            <w:r>
              <w:rPr>
                <w:rFonts w:ascii="Times New Roman" w:hAnsi="Times New Roman" w:eastAsia="Times New Roman"/>
                <w:b w:val="0"/>
                <w:sz w:val="14"/>
              </w:rPr>
              <w:t>1.05–5.40</w:t>
            </w:r>
          </w:p>
        </w:tc>
        <w:tc>
          <w:tcPr>
            <w:tcW w:type="dxa" w:w="652"/>
            <w:tcBorders>
              <w:top w:val="nil"/>
              <w:bottom w:val="nil"/>
              <w:left w:val="nil"/>
              <w:right w:val="nil"/>
            </w:tcBorders>
          </w:tcPr>
          <w:p>
            <w:pPr>
              <w:spacing w:after="0" w:line="240" w:lineRule="auto"/>
            </w:pPr>
            <w:r>
              <w:rPr>
                <w:rFonts w:ascii="Times New Roman" w:hAnsi="Times New Roman" w:eastAsia="Times New Roman"/>
                <w:b w:val="0"/>
                <w:sz w:val="14"/>
              </w:rPr>
              <w:t>2σ</w:t>
            </w:r>
          </w:p>
        </w:tc>
        <w:tc>
          <w:tcPr>
            <w:tcW w:type="dxa" w:w="510"/>
            <w:tcBorders>
              <w:top w:val="nil"/>
              <w:bottom w:val="nil"/>
              <w:left w:val="nil"/>
              <w:right w:val="nil"/>
            </w:tcBorders>
          </w:tcPr>
          <w:p>
            <w:pPr>
              <w:spacing w:after="0" w:line="240" w:lineRule="auto"/>
            </w:pPr>
            <w:r>
              <w:rPr>
                <w:rFonts w:ascii="Times New Roman" w:hAnsi="Times New Roman" w:eastAsia="Times New Roman"/>
                <w:b w:val="0"/>
                <w:sz w:val="14"/>
              </w:rPr>
              <w:t>pass</w:t>
            </w:r>
          </w:p>
        </w:tc>
      </w:tr>
      <w:tr>
        <w:tc>
          <w:tcPr>
            <w:tcW w:type="dxa" w:w="1502"/>
            <w:tcBorders>
              <w:top w:val="nil"/>
              <w:bottom w:val="nil"/>
              <w:left w:val="nil"/>
              <w:right w:val="nil"/>
            </w:tcBorders>
          </w:tcPr>
          <w:p>
            <w:pPr>
              <w:spacing w:after="0" w:line="240" w:lineRule="auto"/>
            </w:pPr>
            <w:r>
              <w:rPr>
                <w:rFonts w:ascii="Times New Roman" w:hAnsi="Times New Roman" w:eastAsia="Times New Roman"/>
                <w:b w:val="0"/>
                <w:sz w:val="14"/>
              </w:rPr>
              <w:t>imec 3.06 µm, 300 / 400 °C (train)</w:t>
            </w:r>
          </w:p>
        </w:tc>
        <w:tc>
          <w:tcPr>
            <w:tcW w:type="dxa" w:w="822"/>
            <w:tcBorders>
              <w:top w:val="nil"/>
              <w:bottom w:val="nil"/>
              <w:left w:val="nil"/>
              <w:right w:val="nil"/>
            </w:tcBorders>
          </w:tcPr>
          <w:p>
            <w:pPr>
              <w:spacing w:after="0" w:line="240" w:lineRule="auto"/>
            </w:pPr>
            <w:r>
              <w:rPr>
                <w:rFonts w:ascii="Times New Roman" w:hAnsi="Times New Roman" w:eastAsia="Times New Roman"/>
                <w:b w:val="0"/>
                <w:sz w:val="14"/>
              </w:rPr>
              <w:t>4.64 / 6.32</w:t>
            </w:r>
          </w:p>
        </w:tc>
        <w:tc>
          <w:tcPr>
            <w:tcW w:type="dxa" w:w="879"/>
            <w:tcBorders>
              <w:top w:val="nil"/>
              <w:bottom w:val="nil"/>
              <w:left w:val="nil"/>
              <w:right w:val="nil"/>
            </w:tcBorders>
          </w:tcPr>
          <w:p>
            <w:pPr>
              <w:spacing w:after="0" w:line="240" w:lineRule="auto"/>
            </w:pPr>
            <w:r>
              <w:rPr>
                <w:rFonts w:ascii="Times New Roman" w:hAnsi="Times New Roman" w:eastAsia="Times New Roman"/>
                <w:b w:val="0"/>
                <w:sz w:val="14"/>
              </w:rPr>
              <w:t>6.05 / 7.85</w:t>
            </w:r>
          </w:p>
        </w:tc>
        <w:tc>
          <w:tcPr>
            <w:tcW w:type="dxa" w:w="652"/>
            <w:tcBorders>
              <w:top w:val="nil"/>
              <w:bottom w:val="nil"/>
              <w:left w:val="nil"/>
              <w:right w:val="nil"/>
            </w:tcBorders>
          </w:tcPr>
          <w:p>
            <w:pPr>
              <w:spacing w:after="0" w:line="240" w:lineRule="auto"/>
            </w:pPr>
            <w:r>
              <w:rPr>
                <w:rFonts w:ascii="Times New Roman" w:hAnsi="Times New Roman" w:eastAsia="Times New Roman"/>
                <w:b w:val="0"/>
                <w:sz w:val="14"/>
              </w:rPr>
              <w:t>2σ</w:t>
            </w:r>
          </w:p>
        </w:tc>
        <w:tc>
          <w:tcPr>
            <w:tcW w:type="dxa" w:w="510"/>
            <w:tcBorders>
              <w:top w:val="nil"/>
              <w:bottom w:val="nil"/>
              <w:left w:val="nil"/>
              <w:right w:val="nil"/>
            </w:tcBorders>
          </w:tcPr>
          <w:p>
            <w:pPr>
              <w:spacing w:after="0" w:line="240" w:lineRule="auto"/>
            </w:pPr>
            <w:r>
              <w:rPr>
                <w:rFonts w:ascii="Times New Roman" w:hAnsi="Times New Roman" w:eastAsia="Times New Roman"/>
                <w:b w:val="0"/>
                <w:sz w:val="14"/>
              </w:rPr>
              <w:t>fail</w:t>
            </w:r>
          </w:p>
        </w:tc>
      </w:tr>
      <w:tr>
        <w:tc>
          <w:tcPr>
            <w:tcW w:type="dxa" w:w="1502"/>
            <w:tcBorders>
              <w:top w:val="nil"/>
              <w:bottom w:val="nil"/>
              <w:left w:val="nil"/>
              <w:right w:val="nil"/>
            </w:tcBorders>
          </w:tcPr>
          <w:p>
            <w:pPr>
              <w:spacing w:after="0" w:line="240" w:lineRule="auto"/>
            </w:pPr>
            <w:r>
              <w:rPr>
                <w:rFonts w:ascii="Times New Roman" w:hAnsi="Times New Roman" w:eastAsia="Times New Roman"/>
                <w:b w:val="0"/>
                <w:sz w:val="14"/>
              </w:rPr>
              <w:t>NYCU 1 µm, 3 orientations, 200 °C</w:t>
            </w:r>
          </w:p>
        </w:tc>
        <w:tc>
          <w:tcPr>
            <w:tcW w:type="dxa" w:w="822"/>
            <w:tcBorders>
              <w:top w:val="nil"/>
              <w:bottom w:val="nil"/>
              <w:left w:val="nil"/>
              <w:right w:val="nil"/>
            </w:tcBorders>
          </w:tcPr>
          <w:p>
            <w:pPr>
              <w:spacing w:after="0" w:line="240" w:lineRule="auto"/>
            </w:pPr>
            <w:r>
              <w:rPr>
                <w:rFonts w:ascii="Times New Roman" w:hAnsi="Times New Roman" w:eastAsia="Times New Roman"/>
                <w:b w:val="0"/>
                <w:sz w:val="14"/>
              </w:rPr>
              <w:t>1.79–1.94</w:t>
            </w:r>
          </w:p>
        </w:tc>
        <w:tc>
          <w:tcPr>
            <w:tcW w:type="dxa" w:w="879"/>
            <w:tcBorders>
              <w:top w:val="nil"/>
              <w:bottom w:val="nil"/>
              <w:left w:val="nil"/>
              <w:right w:val="nil"/>
            </w:tcBorders>
          </w:tcPr>
          <w:p>
            <w:pPr>
              <w:spacing w:after="0" w:line="240" w:lineRule="auto"/>
            </w:pPr>
            <w:r>
              <w:rPr>
                <w:rFonts w:ascii="Times New Roman" w:hAnsi="Times New Roman" w:eastAsia="Times New Roman"/>
                <w:b w:val="0"/>
                <w:sz w:val="14"/>
              </w:rPr>
              <w:t>2.1 ± 0.4</w:t>
            </w:r>
          </w:p>
        </w:tc>
        <w:tc>
          <w:tcPr>
            <w:tcW w:type="dxa" w:w="652"/>
            <w:tcBorders>
              <w:top w:val="nil"/>
              <w:bottom w:val="nil"/>
              <w:left w:val="nil"/>
              <w:right w:val="nil"/>
            </w:tcBorders>
          </w:tcPr>
          <w:p>
            <w:pPr>
              <w:spacing w:after="0" w:line="240" w:lineRule="auto"/>
            </w:pPr>
            <w:r>
              <w:rPr>
                <w:rFonts w:ascii="Times New Roman" w:hAnsi="Times New Roman" w:eastAsia="Times New Roman"/>
                <w:b w:val="0"/>
                <w:sz w:val="14"/>
              </w:rPr>
              <w:t>overlap</w:t>
            </w:r>
          </w:p>
        </w:tc>
        <w:tc>
          <w:tcPr>
            <w:tcW w:type="dxa" w:w="510"/>
            <w:tcBorders>
              <w:top w:val="nil"/>
              <w:bottom w:val="nil"/>
              <w:left w:val="nil"/>
              <w:right w:val="nil"/>
            </w:tcBorders>
          </w:tcPr>
          <w:p>
            <w:pPr>
              <w:spacing w:after="0" w:line="240" w:lineRule="auto"/>
            </w:pPr>
            <w:r>
              <w:rPr>
                <w:rFonts w:ascii="Times New Roman" w:hAnsi="Times New Roman" w:eastAsia="Times New Roman"/>
                <w:b w:val="0"/>
                <w:sz w:val="14"/>
              </w:rPr>
              <w:t>pass</w:t>
            </w:r>
          </w:p>
        </w:tc>
      </w:tr>
      <w:tr>
        <w:tc>
          <w:tcPr>
            <w:tcW w:type="dxa" w:w="1502"/>
            <w:tcBorders>
              <w:top w:val="nil"/>
              <w:bottom w:val="nil"/>
              <w:left w:val="nil"/>
              <w:right w:val="nil"/>
            </w:tcBorders>
          </w:tcPr>
          <w:p>
            <w:pPr>
              <w:spacing w:after="0" w:line="240" w:lineRule="auto"/>
            </w:pPr>
            <w:r>
              <w:rPr>
                <w:rFonts w:ascii="Times New Roman" w:hAnsi="Times New Roman" w:eastAsia="Times New Roman"/>
                <w:b w:val="0"/>
                <w:sz w:val="14"/>
              </w:rPr>
              <w:t>imec 1.26 µm, 100/200/300/400 °C</w:t>
            </w:r>
          </w:p>
        </w:tc>
        <w:tc>
          <w:tcPr>
            <w:tcW w:type="dxa" w:w="822"/>
            <w:tcBorders>
              <w:top w:val="nil"/>
              <w:bottom w:val="nil"/>
              <w:left w:val="nil"/>
              <w:right w:val="nil"/>
            </w:tcBorders>
          </w:tcPr>
          <w:p>
            <w:pPr>
              <w:spacing w:after="0" w:line="240" w:lineRule="auto"/>
            </w:pPr>
            <w:r>
              <w:rPr>
                <w:rFonts w:ascii="Times New Roman" w:hAnsi="Times New Roman" w:eastAsia="Times New Roman"/>
                <w:b w:val="0"/>
                <w:sz w:val="14"/>
              </w:rPr>
              <w:t>0.81/1.88/2.96/4.04</w:t>
            </w:r>
          </w:p>
        </w:tc>
        <w:tc>
          <w:tcPr>
            <w:tcW w:type="dxa" w:w="879"/>
            <w:tcBorders>
              <w:top w:val="nil"/>
              <w:bottom w:val="nil"/>
              <w:left w:val="nil"/>
              <w:right w:val="nil"/>
            </w:tcBorders>
          </w:tcPr>
          <w:p>
            <w:pPr>
              <w:spacing w:after="0" w:line="240" w:lineRule="auto"/>
            </w:pPr>
            <w:r>
              <w:rPr>
                <w:rFonts w:ascii="Times New Roman" w:hAnsi="Times New Roman" w:eastAsia="Times New Roman"/>
                <w:b w:val="0"/>
                <w:sz w:val="14"/>
              </w:rPr>
              <w:t>0.70/1.60/3.65/5.00</w:t>
            </w:r>
          </w:p>
        </w:tc>
        <w:tc>
          <w:tcPr>
            <w:tcW w:type="dxa" w:w="652"/>
            <w:tcBorders>
              <w:top w:val="nil"/>
              <w:bottom w:val="nil"/>
              <w:left w:val="nil"/>
              <w:right w:val="nil"/>
            </w:tcBorders>
          </w:tcPr>
          <w:p>
            <w:pPr>
              <w:spacing w:after="0" w:line="240" w:lineRule="auto"/>
            </w:pPr>
            <w:r>
              <w:rPr>
                <w:rFonts w:ascii="Times New Roman" w:hAnsi="Times New Roman" w:eastAsia="Times New Roman"/>
                <w:b w:val="0"/>
                <w:sz w:val="14"/>
              </w:rPr>
              <w:t>0.5 nm or 15 %</w:t>
            </w:r>
          </w:p>
        </w:tc>
        <w:tc>
          <w:tcPr>
            <w:tcW w:type="dxa" w:w="510"/>
            <w:tcBorders>
              <w:top w:val="nil"/>
              <w:bottom w:val="nil"/>
              <w:left w:val="nil"/>
              <w:right w:val="nil"/>
            </w:tcBorders>
          </w:tcPr>
          <w:p>
            <w:pPr>
              <w:spacing w:after="0" w:line="240" w:lineRule="auto"/>
            </w:pPr>
            <w:r>
              <w:rPr>
                <w:rFonts w:ascii="Times New Roman" w:hAnsi="Times New Roman" w:eastAsia="Times New Roman"/>
                <w:b w:val="0"/>
                <w:sz w:val="14"/>
              </w:rPr>
              <w:t>P/P/F/F</w:t>
            </w:r>
          </w:p>
        </w:tc>
      </w:tr>
      <w:tr>
        <w:tc>
          <w:tcPr>
            <w:tcW w:type="dxa" w:w="1502"/>
            <w:tcBorders>
              <w:top w:val="nil"/>
              <w:bottom w:val="nil"/>
              <w:left w:val="nil"/>
              <w:right w:val="nil"/>
            </w:tcBorders>
          </w:tcPr>
          <w:p>
            <w:pPr>
              <w:spacing w:after="0" w:line="240" w:lineRule="auto"/>
            </w:pPr>
            <w:r>
              <w:rPr>
                <w:rFonts w:ascii="Times New Roman" w:hAnsi="Times New Roman" w:eastAsia="Times New Roman"/>
                <w:b w:val="0"/>
                <w:sz w:val="14"/>
              </w:rPr>
              <w:t>imec 0.54 µm, 100/200/300/400 °C</w:t>
            </w:r>
          </w:p>
        </w:tc>
        <w:tc>
          <w:tcPr>
            <w:tcW w:type="dxa" w:w="822"/>
            <w:tcBorders>
              <w:top w:val="nil"/>
              <w:bottom w:val="nil"/>
              <w:left w:val="nil"/>
              <w:right w:val="nil"/>
            </w:tcBorders>
          </w:tcPr>
          <w:p>
            <w:pPr>
              <w:spacing w:after="0" w:line="240" w:lineRule="auto"/>
            </w:pPr>
            <w:r>
              <w:rPr>
                <w:rFonts w:ascii="Times New Roman" w:hAnsi="Times New Roman" w:eastAsia="Times New Roman"/>
                <w:b w:val="0"/>
                <w:sz w:val="14"/>
              </w:rPr>
              <w:t>0.41/0.95/1.50/2.04</w:t>
            </w:r>
          </w:p>
        </w:tc>
        <w:tc>
          <w:tcPr>
            <w:tcW w:type="dxa" w:w="879"/>
            <w:tcBorders>
              <w:top w:val="nil"/>
              <w:bottom w:val="nil"/>
              <w:left w:val="nil"/>
              <w:right w:val="nil"/>
            </w:tcBorders>
          </w:tcPr>
          <w:p>
            <w:pPr>
              <w:spacing w:after="0" w:line="240" w:lineRule="auto"/>
            </w:pPr>
            <w:r>
              <w:rPr>
                <w:rFonts w:ascii="Times New Roman" w:hAnsi="Times New Roman" w:eastAsia="Times New Roman"/>
                <w:b w:val="0"/>
                <w:sz w:val="14"/>
              </w:rPr>
              <w:t>0.25/0.60/1.00/1.40</w:t>
            </w:r>
          </w:p>
        </w:tc>
        <w:tc>
          <w:tcPr>
            <w:tcW w:type="dxa" w:w="652"/>
            <w:tcBorders>
              <w:top w:val="nil"/>
              <w:bottom w:val="nil"/>
              <w:left w:val="nil"/>
              <w:right w:val="nil"/>
            </w:tcBorders>
          </w:tcPr>
          <w:p>
            <w:pPr>
              <w:spacing w:after="0" w:line="240" w:lineRule="auto"/>
            </w:pPr>
            <w:r>
              <w:rPr>
                <w:rFonts w:ascii="Times New Roman" w:hAnsi="Times New Roman" w:eastAsia="Times New Roman"/>
                <w:b w:val="0"/>
                <w:sz w:val="14"/>
              </w:rPr>
              <w:t>0.4 nm</w:t>
            </w:r>
          </w:p>
        </w:tc>
        <w:tc>
          <w:tcPr>
            <w:tcW w:type="dxa" w:w="510"/>
            <w:tcBorders>
              <w:top w:val="nil"/>
              <w:bottom w:val="nil"/>
              <w:left w:val="nil"/>
              <w:right w:val="nil"/>
            </w:tcBorders>
          </w:tcPr>
          <w:p>
            <w:pPr>
              <w:spacing w:after="0" w:line="240" w:lineRule="auto"/>
            </w:pPr>
            <w:r>
              <w:rPr>
                <w:rFonts w:ascii="Times New Roman" w:hAnsi="Times New Roman" w:eastAsia="Times New Roman"/>
                <w:b w:val="0"/>
                <w:sz w:val="14"/>
              </w:rPr>
              <w:t>P/P/F/F</w:t>
            </w:r>
          </w:p>
        </w:tc>
      </w:tr>
      <w:tr>
        <w:tc>
          <w:tcPr>
            <w:tcW w:type="dxa" w:w="1502"/>
            <w:tcBorders>
              <w:top w:val="nil"/>
              <w:bottom w:val="single" w:sz="8" w:color="000000"/>
              <w:left w:val="nil"/>
              <w:right w:val="nil"/>
            </w:tcBorders>
          </w:tcPr>
          <w:p>
            <w:pPr>
              <w:spacing w:after="0" w:line="240" w:lineRule="auto"/>
            </w:pPr>
            <w:r>
              <w:rPr>
                <w:rFonts w:ascii="Times New Roman" w:hAnsi="Times New Roman" w:eastAsia="Times New Roman"/>
                <w:b w:val="0"/>
                <w:sz w:val="14"/>
              </w:rPr>
              <w:t>sliding control, 1 / 0.54 µm</w:t>
            </w:r>
          </w:p>
        </w:tc>
        <w:tc>
          <w:tcPr>
            <w:tcW w:type="dxa" w:w="822"/>
            <w:tcBorders>
              <w:top w:val="nil"/>
              <w:bottom w:val="single" w:sz="8" w:color="000000"/>
              <w:left w:val="nil"/>
              <w:right w:val="nil"/>
            </w:tcBorders>
          </w:tcPr>
          <w:p>
            <w:pPr>
              <w:spacing w:after="0" w:line="240" w:lineRule="auto"/>
            </w:pPr>
            <w:r>
              <w:rPr>
                <w:rFonts w:ascii="Times New Roman" w:hAnsi="Times New Roman" w:eastAsia="Times New Roman"/>
                <w:b w:val="0"/>
                <w:sz w:val="14"/>
              </w:rPr>
              <w:t>3.66 / 4.84</w:t>
            </w:r>
          </w:p>
        </w:tc>
        <w:tc>
          <w:tcPr>
            <w:tcW w:type="dxa" w:w="879"/>
            <w:tcBorders>
              <w:top w:val="nil"/>
              <w:bottom w:val="single" w:sz="8" w:color="000000"/>
              <w:left w:val="nil"/>
              <w:right w:val="nil"/>
            </w:tcBorders>
          </w:tcPr>
          <w:p>
            <w:pPr>
              <w:spacing w:after="0" w:line="240" w:lineRule="auto"/>
            </w:pPr>
            <w:r>
              <w:rPr>
                <w:rFonts w:ascii="Times New Roman" w:hAnsi="Times New Roman" w:eastAsia="Times New Roman"/>
                <w:b w:val="0"/>
                <w:sz w:val="14"/>
              </w:rPr>
              <w:t>2.1 / 1.4</w:t>
            </w:r>
          </w:p>
        </w:tc>
        <w:tc>
          <w:tcPr>
            <w:tcW w:type="dxa" w:w="652"/>
            <w:tcBorders>
              <w:top w:val="nil"/>
              <w:bottom w:val="single" w:sz="8" w:color="000000"/>
              <w:left w:val="nil"/>
              <w:right w:val="nil"/>
            </w:tcBorders>
          </w:tcPr>
          <w:p>
            <w:pPr>
              <w:spacing w:after="0" w:line="240" w:lineRule="auto"/>
            </w:pPr>
            <w:r>
              <w:rPr>
                <w:rFonts w:ascii="Times New Roman" w:hAnsi="Times New Roman" w:eastAsia="Times New Roman"/>
                <w:b w:val="0"/>
                <w:sz w:val="14"/>
              </w:rPr>
              <w:t>must fail</w:t>
            </w:r>
          </w:p>
        </w:tc>
        <w:tc>
          <w:tcPr>
            <w:tcW w:type="dxa" w:w="510"/>
            <w:tcBorders>
              <w:top w:val="nil"/>
              <w:bottom w:val="single" w:sz="8" w:color="000000"/>
              <w:left w:val="nil"/>
              <w:right w:val="nil"/>
            </w:tcBorders>
          </w:tcPr>
          <w:p>
            <w:pPr>
              <w:spacing w:after="0" w:line="240" w:lineRule="auto"/>
            </w:pPr>
            <w:r>
              <w:rPr>
                <w:rFonts w:ascii="Times New Roman" w:hAnsi="Times New Roman" w:eastAsia="Times New Roman"/>
                <w:b w:val="0"/>
                <w:sz w:val="14"/>
              </w:rPr>
              <w:t>fails</w:t>
            </w:r>
          </w:p>
        </w:tc>
      </w:tr>
    </w:tbl>
    <w:p>
      <w:pPr>
        <w:pStyle w:val="a3"/>
        <w:spacing w:line="288" w:lineRule="auto" w:after="0" w:before="0"/>
        <w:jc w:val="both"/>
      </w:pPr>
    </w:p>
    <w:p>
      <w:pPr>
        <w:pStyle w:val="a3"/>
        <w:spacing w:before="80" w:line="240" w:lineRule="auto"/>
        <w:jc w:val="center"/>
      </w:pPr>
      <w:r>
        <w:drawing>
          <wp:inline xmlns:a="http://schemas.openxmlformats.org/drawingml/2006/main" xmlns:pic="http://schemas.openxmlformats.org/drawingml/2006/picture">
            <wp:extent cx="2862000" cy="2636252"/>
            <wp:docPr id="2" name="Picture 2"/>
            <wp:cNvGraphicFramePr>
              <a:graphicFrameLocks noChangeAspect="1"/>
            </wp:cNvGraphicFramePr>
            <a:graphic>
              <a:graphicData uri="http://schemas.openxmlformats.org/drawingml/2006/picture">
                <pic:pic>
                  <pic:nvPicPr>
                    <pic:cNvPr id="0" name="fig2_transition.png"/>
                    <pic:cNvPicPr/>
                  </pic:nvPicPr>
                  <pic:blipFill>
                    <a:blip r:embed="rId11"/>
                    <a:stretch>
                      <a:fillRect/>
                    </a:stretch>
                  </pic:blipFill>
                  <pic:spPr>
                    <a:xfrm>
                      <a:off x="0" y="0"/>
                      <a:ext cx="2862000" cy="2636252"/>
                    </a:xfrm>
                    <a:prstGeom prst="rect"/>
                  </pic:spPr>
                </pic:pic>
              </a:graphicData>
            </a:graphic>
          </wp:inline>
        </w:drawing>
      </w:r>
    </w:p>
    <w:p>
      <w:pPr>
        <w:pStyle w:val="a3"/>
        <w:spacing w:line="240" w:lineRule="auto" w:after="80" w:before="0"/>
        <w:jc w:val="both"/>
      </w:pPr>
      <w:r>
        <w:rPr>
          <w:rFonts w:ascii="Times New Roman" w:hAnsi="Times New Roman" w:eastAsia="HY신명조"/>
          <w:sz w:val="16"/>
        </w:rPr>
        <w:t>Fig. 2. Mechanism transition with pad size: top + bottom elastic protrusion at 400 °C (FEM, FEM × 0.69, imec measurement) versus the saturated diffusion bulge-out (checked for D ≤ 300 nm; dashed = extrapolation) and the IRPS 2026 recess sum of 5 nm; crossover ≈ 0.7 µm. Inset: transition size versus recess sum.</w:t>
      </w:r>
    </w:p>
    <w:p>
      <w:pPr>
        <w:pStyle w:val="a3"/>
        <w:spacing w:line="288" w:lineRule="auto" w:after="0" w:before="0"/>
        <w:ind w:firstLine="180"/>
        <w:jc w:val="both"/>
      </w:pPr>
      <w:r>
        <w:rPr>
          <w:rFonts w:ascii="Times New Roman" w:hAnsi="Times New Roman" w:eastAsia="HY신명조"/>
          <w:b/>
          <w:sz w:val="18"/>
        </w:rPr>
        <w:t xml:space="preserve">3.2 표면확산 항 테스트. </w:t>
      </w:r>
      <w:r>
        <w:rPr>
          <w:rFonts w:ascii="Times New Roman" w:hAnsi="Times New Roman" w:eastAsia="HY신명조"/>
          <w:sz w:val="18"/>
        </w:rPr>
        <w:t>고정형(θ = 123°, τ</w:t>
      </w:r>
      <w:r>
        <w:rPr>
          <w:rFonts w:ascii="Times New Roman" w:hAnsi="Times New Roman" w:eastAsia="HY신명조"/>
          <w:sz w:val="18"/>
          <w:vertAlign w:val="subscript"/>
        </w:rPr>
        <w:t>0</w:t>
      </w:r>
      <w:r>
        <w:rPr>
          <w:rFonts w:ascii="Times New Roman" w:hAnsi="Times New Roman" w:eastAsia="HY신명조"/>
          <w:sz w:val="18"/>
        </w:rPr>
        <w:t xml:space="preserve"> 학습)은 17점 중 2점만 통과했다. 학습점(350 °C 1 h)이 포화 상태라 진폭 오차가 τ</w:t>
      </w:r>
      <w:r>
        <w:rPr>
          <w:rFonts w:ascii="Times New Roman" w:hAnsi="Times New Roman" w:eastAsia="HY신명조"/>
          <w:sz w:val="18"/>
          <w:vertAlign w:val="subscript"/>
        </w:rPr>
        <w:t>0</w:t>
      </w:r>
      <w:r>
        <w:rPr>
          <w:rFonts w:ascii="Times New Roman" w:hAnsi="Times New Roman" w:eastAsia="HY신명조"/>
          <w:sz w:val="18"/>
        </w:rPr>
        <w:t>로 흡수된 탓이다. 문서화된 개정 1(θ</w:t>
      </w:r>
      <w:r>
        <w:rPr>
          <w:rFonts w:ascii="Times New Roman" w:hAnsi="Times New Roman" w:eastAsia="HY신명조"/>
          <w:sz w:val="18"/>
          <w:vertAlign w:val="subscript"/>
        </w:rPr>
        <w:t>eff</w:t>
      </w:r>
      <w:r>
        <w:rPr>
          <w:rFonts w:ascii="Times New Roman" w:hAnsi="Times New Roman" w:eastAsia="HY신명조"/>
          <w:sz w:val="18"/>
        </w:rPr>
        <w:t xml:space="preserve"> 학습, τ</w:t>
      </w:r>
      <w:r>
        <w:rPr>
          <w:rFonts w:ascii="Times New Roman" w:hAnsi="Times New Roman" w:eastAsia="HY신명조"/>
          <w:sz w:val="18"/>
          <w:vertAlign w:val="subscript"/>
        </w:rPr>
        <w:t>0</w:t>
      </w:r>
      <w:r>
        <w:rPr>
          <w:rFonts w:ascii="Times New Roman" w:hAnsi="Times New Roman" w:eastAsia="HY신명조"/>
          <w:sz w:val="18"/>
        </w:rPr>
        <w:t xml:space="preserve"> = 60 s 고정)에서 θ</w:t>
      </w:r>
      <w:r>
        <w:rPr>
          <w:rFonts w:ascii="Times New Roman" w:hAnsi="Times New Roman" w:eastAsia="HY신명조"/>
          <w:sz w:val="18"/>
          <w:vertAlign w:val="subscript"/>
        </w:rPr>
        <w:t>eff</w:t>
      </w:r>
      <w:r>
        <w:rPr>
          <w:rFonts w:ascii="Times New Roman" w:hAnsi="Times New Roman" w:eastAsia="HY신명조"/>
          <w:sz w:val="18"/>
        </w:rPr>
        <w:t xml:space="preserve"> = 113.6°, 11/17 통과, 온도 경향 통과, 포화 비 경계 실패로 규칙상 NOT VALIDATED이다. 실패 6점은 모두 과소예측이며 200 °C의 D ≥ 250 nm 패드 또는 자가 어닐(self-anneal) Cu였고, 250 °C 이상 PPA-Cu 테스트 점은 5/5(중복 점검 포함 7/7) 통과했다(Fig. 3a). 즉 식 (1)은 250 °C 이상에서 실측과 맞고 200 °C에서는 보수적이다. 측정의 2 h → 4 h 증가율로 추정한 유효 활성화에너지는 14–17 kcal/mol로 문헌값 20.7보다 작다. 방위 항을 넣은 2차 탐색(θ</w:t>
      </w:r>
      <w:r>
        <w:rPr>
          <w:rFonts w:ascii="Times New Roman" w:hAnsi="Times New Roman" w:eastAsia="HY신명조"/>
          <w:sz w:val="18"/>
          <w:vertAlign w:val="subscript"/>
        </w:rPr>
        <w:t>eff</w:t>
      </w:r>
      <w:r>
        <w:rPr>
          <w:rFonts w:ascii="Times New Roman" w:hAnsi="Times New Roman" w:eastAsia="HY신명조"/>
          <w:sz w:val="18"/>
        </w:rPr>
        <w:t xml:space="preserve"> 119°, ω</w:t>
      </w:r>
      <w:r>
        <w:rPr>
          <w:rFonts w:ascii="Times New Roman" w:hAnsi="Times New Roman" w:eastAsia="HY신명조"/>
          <w:sz w:val="18"/>
          <w:vertAlign w:val="subscript"/>
        </w:rPr>
        <w:t>c</w:t>
      </w:r>
      <w:r>
        <w:rPr>
          <w:rFonts w:ascii="Times New Roman" w:hAnsi="Times New Roman" w:eastAsia="HY신명조"/>
          <w:sz w:val="18"/>
        </w:rPr>
        <w:t xml:space="preserve"> 5°, Δω 19.5°)은 중앙값 통과율(11/17)을 바꾸지 않지만 분포 폭(IQR)을 10/17 재현했다. 방위가 없는 모델의 IQR은 0이다(Fig. 3c: f = 0인 패드 1.5 %, f &lt; 0.5인 패드 13 %).</w:t>
      </w:r>
    </w:p>
    <w:p>
      <w:pPr>
        <w:pStyle w:val="a3"/>
        <w:spacing w:before="80" w:line="240" w:lineRule="auto"/>
        <w:jc w:val="center"/>
      </w:pPr>
      <w:r>
        <w:drawing>
          <wp:inline xmlns:a="http://schemas.openxmlformats.org/drawingml/2006/main" xmlns:pic="http://schemas.openxmlformats.org/drawingml/2006/picture">
            <wp:extent cx="2862000" cy="4272546"/>
            <wp:docPr id="3" name="Picture 3"/>
            <wp:cNvGraphicFramePr>
              <a:graphicFrameLocks noChangeAspect="1"/>
            </wp:cNvGraphicFramePr>
            <a:graphic>
              <a:graphicData uri="http://schemas.openxmlformats.org/drawingml/2006/picture">
                <pic:pic>
                  <pic:nvPicPr>
                    <pic:cNvPr id="0" name="fig3_diffusion.png"/>
                    <pic:cNvPicPr/>
                  </pic:nvPicPr>
                  <pic:blipFill>
                    <a:blip r:embed="rId12"/>
                    <a:stretch>
                      <a:fillRect/>
                    </a:stretch>
                  </pic:blipFill>
                  <pic:spPr>
                    <a:xfrm>
                      <a:off x="0" y="0"/>
                      <a:ext cx="2862000" cy="4272546"/>
                    </a:xfrm>
                    <a:prstGeom prst="rect"/>
                  </pic:spPr>
                </pic:pic>
              </a:graphicData>
            </a:graphic>
          </wp:inline>
        </w:drawing>
      </w:r>
    </w:p>
    <w:p>
      <w:pPr>
        <w:pStyle w:val="a3"/>
        <w:spacing w:line="240" w:lineRule="auto" w:after="80" w:before="0"/>
        <w:jc w:val="both"/>
      </w:pPr>
      <w:r>
        <w:rPr>
          <w:rFonts w:ascii="Times New Roman" w:hAnsi="Times New Roman" w:eastAsia="HY신명조"/>
          <w:sz w:val="16"/>
        </w:rPr>
        <w:t>Fig. 3. Surface-diffusion term (with orientation factor, exploratory round 2) versus imec 2026 bulge-out distributions: (a) 400/500 nm pitch medians and IQR versus anneal T and time (open = failed point), (b) size dependence at 250 °C, 1 h (200–500 nm pitch), (c) orientation factor f(ω) and the faceted fraction.</w:t>
      </w:r>
    </w:p>
    <w:p>
      <w:pPr>
        <w:pStyle w:val="a3"/>
        <w:spacing w:line="288" w:lineRule="auto" w:after="0" w:before="0"/>
        <w:ind w:firstLine="180"/>
        <w:jc w:val="both"/>
      </w:pPr>
      <w:r>
        <w:rPr>
          <w:rFonts w:ascii="Times New Roman" w:hAnsi="Times New Roman" w:eastAsia="HY신명조"/>
          <w:b/>
          <w:sz w:val="18"/>
        </w:rPr>
        <w:t xml:space="preserve">3.3 Ayoub 300 nm 변형률. </w:t>
      </w:r>
      <w:r>
        <w:rPr>
          <w:rFonts w:ascii="Times New Roman" w:hAnsi="Times New Roman" w:eastAsia="HY신명조"/>
          <w:sz w:val="18"/>
        </w:rPr>
        <w:t>같은 적층(SiN 캡, Ta 13 nm)의 접합 모델은 3 µm 패드에서 ε′</w:t>
      </w:r>
      <w:r>
        <w:rPr>
          <w:rFonts w:ascii="Times New Roman" w:hAnsi="Times New Roman" w:eastAsia="HY신명조"/>
          <w:sz w:val="18"/>
          <w:vertAlign w:val="subscript"/>
        </w:rPr>
        <w:t>zz</w:t>
      </w:r>
      <w:r>
        <w:rPr>
          <w:rFonts w:ascii="Times New Roman" w:hAnsi="Times New Roman" w:eastAsia="HY신명조"/>
          <w:sz w:val="18"/>
        </w:rPr>
        <w:t>(30 °C) = −1.24 × 10</w:t>
      </w:r>
      <w:r>
        <w:rPr>
          <w:rFonts w:ascii="Times New Roman" w:hAnsi="Times New Roman" w:eastAsia="HY신명조"/>
          <w:sz w:val="18"/>
          <w:vertAlign w:val="superscript"/>
        </w:rPr>
        <w:t>−3</w:t>
      </w:r>
      <w:r>
        <w:rPr>
          <w:rFonts w:ascii="Times New Roman" w:hAnsi="Times New Roman" w:eastAsia="HY신명조"/>
          <w:sz w:val="18"/>
        </w:rPr>
        <w:t>으로 실측 범위(어닐 후 −0.5…−2.0 × 10</w:t>
      </w:r>
      <w:r>
        <w:rPr>
          <w:rFonts w:ascii="Times New Roman" w:hAnsi="Times New Roman" w:eastAsia="HY신명조"/>
          <w:sz w:val="18"/>
          <w:vertAlign w:val="superscript"/>
        </w:rPr>
        <w:t>−3</w:t>
      </w:r>
      <w:r>
        <w:rPr>
          <w:rFonts w:ascii="Times New Roman" w:hAnsi="Times New Roman" w:eastAsia="HY신명조"/>
          <w:sz w:val="18"/>
        </w:rPr>
        <w:t>)</w:t>
      </w:r>
      <w:r>
        <w:rPr>
          <w:rFonts w:ascii="Times New Roman" w:hAnsi="Times New Roman" w:eastAsia="HY신명조"/>
          <w:sz w:val="18"/>
          <w:vertAlign w:val="superscript"/>
        </w:rPr>
        <w:t>[4,14]</w:t>
      </w:r>
      <w:r>
        <w:rPr>
          <w:rFonts w:ascii="Times New Roman" w:hAnsi="Times New Roman" w:eastAsia="HY신명조"/>
          <w:sz w:val="18"/>
        </w:rPr>
        <w:t>와 부호가 일치했고, 300 nm에서는 두 방위(E</w:t>
      </w:r>
      <w:r>
        <w:rPr>
          <w:rFonts w:ascii="Times New Roman" w:hAnsi="Times New Roman" w:eastAsia="HY신명조"/>
          <w:sz w:val="18"/>
          <w:vertAlign w:val="subscript"/>
        </w:rPr>
        <w:t>z</w:t>
      </w:r>
      <w:r>
        <w:rPr>
          <w:rFonts w:ascii="Times New Roman" w:hAnsi="Times New Roman" w:eastAsia="HY신명조"/>
          <w:sz w:val="18"/>
        </w:rPr>
        <w:t xml:space="preserve"> 68·190 GPa)의 가열 기울기 크기가 0.5 % 안에 들었으나 부호가 반대였다. Ayoub 시료는 다른 공정(Cu/SiO</w:t>
      </w:r>
      <w:r>
        <w:rPr>
          <w:rFonts w:ascii="Times New Roman" w:hAnsi="Times New Roman" w:eastAsia="HY신명조"/>
          <w:sz w:val="18"/>
          <w:vertAlign w:val="subscript"/>
        </w:rPr>
        <w:t>2</w:t>
      </w:r>
      <w:r>
        <w:rPr>
          <w:rFonts w:ascii="Times New Roman" w:hAnsi="Times New Roman" w:eastAsia="HY신명조"/>
          <w:sz w:val="18"/>
        </w:rPr>
        <w:t>, CMP 후 PECVD SiN 캡)이고 Cu 계면 조건이 명시돼 있지 않으므로 계면 상태 차이(캡·측벽)로 해석하되 가설로 둔다. 300 nm 크기 재현은 주장하지 않으며, 미끄럼 측벽은 상한 시나리오로만 쓴다.</w:t>
      </w:r>
    </w:p>
    <w:p>
      <w:pPr>
        <w:pStyle w:val="a3"/>
        <w:spacing w:line="288" w:lineRule="auto" w:after="0" w:before="0"/>
        <w:ind w:firstLine="180"/>
        <w:jc w:val="both"/>
      </w:pPr>
      <w:r>
        <w:rPr>
          <w:rFonts w:ascii="Times New Roman" w:hAnsi="Times New Roman" w:eastAsia="HY신명조"/>
          <w:b/>
          <w:sz w:val="18"/>
        </w:rPr>
        <w:t xml:space="preserve">3.4 300 nm 공정창과 레시피 변수. </w:t>
      </w:r>
      <w:r>
        <w:rPr>
          <w:rFonts w:ascii="Times New Roman" w:hAnsi="Times New Roman" w:eastAsia="HY신명조"/>
          <w:sz w:val="18"/>
        </w:rPr>
        <w:t>탄성 항(b = 0.69; 0.54 µm 테스트 비 범위 0.60–1.0로 반복)과 식 (1)(방위 항 포함)의 단순합으로, 상·하 방위(구면 균일)와 recess(패드당 N(2.5, 0.5²) nm</w:t>
      </w:r>
      <w:r>
        <w:rPr>
          <w:rFonts w:ascii="Times New Roman" w:hAnsi="Times New Roman" w:eastAsia="HY신명조"/>
          <w:sz w:val="18"/>
          <w:vertAlign w:val="superscript"/>
        </w:rPr>
        <w:t>[10]</w:t>
      </w:r>
      <w:r>
        <w:rPr>
          <w:rFonts w:ascii="Times New Roman" w:hAnsi="Times New Roman" w:eastAsia="HY신명조"/>
          <w:sz w:val="18"/>
        </w:rPr>
        <w:t>) 2 × 10</w:t>
      </w:r>
      <w:r>
        <w:rPr>
          <w:rFonts w:ascii="Times New Roman" w:hAnsi="Times New Roman" w:eastAsia="HY신명조"/>
          <w:sz w:val="18"/>
          <w:vertAlign w:val="superscript"/>
        </w:rPr>
        <w:t>5</w:t>
      </w:r>
      <w:r>
        <w:rPr>
          <w:rFonts w:ascii="Times New Roman" w:hAnsi="Times New Roman" w:eastAsia="HY신명조"/>
          <w:sz w:val="18"/>
        </w:rPr>
        <w:t xml:space="preserve"> 쌍에 대해 P</w:t>
      </w:r>
      <w:r>
        <w:rPr>
          <w:rFonts w:ascii="Times New Roman" w:hAnsi="Times New Roman" w:eastAsia="HY신명조"/>
          <w:sz w:val="18"/>
          <w:vertAlign w:val="subscript"/>
        </w:rPr>
        <w:t>contact</w:t>
      </w:r>
      <w:r>
        <w:rPr>
          <w:rFonts w:ascii="Times New Roman" w:hAnsi="Times New Roman" w:eastAsia="HY신명조"/>
          <w:sz w:val="18"/>
        </w:rPr>
        <w:t>를 계산했다(Fig. 4). 청정 표면에서 창(P ≥ 0.99)은 250 °C × 2 h 또는 300 °C × 30 min부터 열리고 350 °C 이상은 5 min이면 충분하다. 불확실 집합 b × τ</w:t>
      </w:r>
      <w:r>
        <w:rPr>
          <w:rFonts w:ascii="Times New Roman" w:hAnsi="Times New Roman" w:eastAsia="HY신명조"/>
          <w:sz w:val="18"/>
          <w:vertAlign w:val="subscript"/>
        </w:rPr>
        <w:t>0</w:t>
      </w:r>
      <w:r>
        <w:rPr>
          <w:rFonts w:ascii="Times New Roman" w:hAnsi="Times New Roman" w:eastAsia="HY신명조"/>
          <w:sz w:val="18"/>
        </w:rPr>
        <w:t>{20, 60, 100 s} × Q{20.7, 15}에서 바뀌는 셀은 경계 3개뿐이며 청정 표면 권고 레시피는 b 전 범위에서 같다. 탄성 항은 300 nm·350 °C·1 h에서 총 돌출 중앙값 19.9 nm 중 0.75 nm이다. 표면 산화(s</w:t>
      </w:r>
      <w:r>
        <w:rPr>
          <w:rFonts w:ascii="Times New Roman" w:hAnsi="Times New Roman" w:eastAsia="HY신명조"/>
          <w:sz w:val="18"/>
          <w:vertAlign w:val="subscript"/>
        </w:rPr>
        <w:t>ox</w:t>
      </w:r>
      <w:r>
        <w:rPr>
          <w:rFonts w:ascii="Times New Roman" w:hAnsi="Times New Roman" w:eastAsia="HY신명조"/>
          <w:sz w:val="18"/>
        </w:rPr>
        <w:t xml:space="preserve"> 0.45)는 최소 레시피를 300 °C × 2 h 또는 350 °C × 30 min으로 늦춘다. 같은 계산을 recess 평균에 대해 풀면 CMP에 돌려줄 허용 합이 나온다(Fig. 5): 청정 표면 250 °C × 2 h에서 7.5 nm, 300 °C × 30 min에서 9 nm, 350 °C × 2 h와 400 °C에서 11.5 nm(산화 표면은 3.5–6 nm). 인자 순위(창에서 바뀌는 셀 수, 300 nm·청정, Fig. 6a)는 지배 기구(확산 off: 9/15) ≫ 표면 상태(3) &gt; 확산 동역학 τ</w:t>
      </w:r>
      <w:r>
        <w:rPr>
          <w:rFonts w:ascii="Times New Roman" w:hAnsi="Times New Roman" w:eastAsia="HY신명조"/>
          <w:sz w:val="18"/>
          <w:vertAlign w:val="subscript"/>
        </w:rPr>
        <w:t>0</w:t>
      </w:r>
      <w:r>
        <w:rPr>
          <w:rFonts w:ascii="Times New Roman" w:hAnsi="Times New Roman" w:eastAsia="HY신명조"/>
          <w:sz w:val="18"/>
        </w:rPr>
        <w:t>·Q, &lt;111&gt; facet, 라이너 접촉각(각 2) &gt; recess 평균·산포와 b(0) 순이다. 방위는 탄성 항이 아니라 확산 항을 통해 들어오며, 총 돌출의 방위 폭(q90 − q10)은 300 nm에서 11.5 nm(탄성 0.03 nm)이다. &lt;111&gt; 근방 패드는 bulge-out이 작아 권고 셀에서 미접촉 쌍이 2.3–3.4 × 10</w:t>
      </w:r>
      <w:r>
        <w:rPr>
          <w:rFonts w:ascii="Times New Roman" w:hAnsi="Times New Roman" w:eastAsia="HY신명조"/>
          <w:sz w:val="18"/>
          <w:vertAlign w:val="superscript"/>
        </w:rPr>
        <w:t>−3</w:t>
      </w:r>
      <w:r>
        <w:rPr>
          <w:rFonts w:ascii="Times New Roman" w:hAnsi="Times New Roman" w:eastAsia="HY신명조"/>
          <w:sz w:val="18"/>
        </w:rPr>
        <w:t>, 400 °C에서도 1.4 × 10</w:t>
      </w:r>
      <w:r>
        <w:rPr>
          <w:rFonts w:ascii="Times New Roman" w:hAnsi="Times New Roman" w:eastAsia="HY신명조"/>
          <w:sz w:val="18"/>
          <w:vertAlign w:val="superscript"/>
        </w:rPr>
        <w:t>−3</w:t>
      </w:r>
      <w:r>
        <w:rPr>
          <w:rFonts w:ascii="Times New Roman" w:hAnsi="Times New Roman" w:eastAsia="HY신명조"/>
          <w:sz w:val="18"/>
        </w:rPr>
        <w:t xml:space="preserve"> 남는다(Fig. 6b). facet 항을 끈 경우(미세결정 Cu 대용)에는 이 하한이 사라진다</w:t>
      </w:r>
      <w:r>
        <w:rPr>
          <w:rFonts w:ascii="Times New Roman" w:hAnsi="Times New Roman" w:eastAsia="HY신명조"/>
          <w:sz w:val="18"/>
          <w:vertAlign w:val="superscript"/>
        </w:rPr>
        <w:t>[3]</w:t>
      </w:r>
      <w:r>
        <w:rPr>
          <w:rFonts w:ascii="Times New Roman" w:hAnsi="Times New Roman" w:eastAsia="HY신명조"/>
          <w:sz w:val="18"/>
        </w:rPr>
        <w:t>. 접촉 후 연결 단계(2D 축대칭 Cu–Cu 마찰 접촉, 등방 소성</w:t>
      </w:r>
      <w:r>
        <w:rPr>
          <w:rFonts w:ascii="Times New Roman" w:hAnsi="Times New Roman" w:eastAsia="HY신명조"/>
          <w:sz w:val="18"/>
          <w:vertAlign w:val="superscript"/>
        </w:rPr>
        <w:t>[15]</w:t>
      </w:r>
      <w:r>
        <w:rPr>
          <w:rFonts w:ascii="Times New Roman" w:hAnsi="Times New Roman" w:eastAsia="HY신명조"/>
          <w:sz w:val="18"/>
        </w:rPr>
        <w:t>)에서는 300 nm·350 °C·recess 1–2 nm에서 접촉면적 분율 0.95–1.0, 평균 접촉압력 317–403 MPa로 재결정의 필요조건을 만족하나 접합의 증명은 아니다.</w:t>
      </w:r>
    </w:p>
    <w:p>
      <w:pPr>
        <w:pStyle w:val="a3"/>
        <w:spacing w:before="80" w:line="240" w:lineRule="auto"/>
        <w:jc w:val="center"/>
      </w:pPr>
      <w:r>
        <w:drawing>
          <wp:inline xmlns:a="http://schemas.openxmlformats.org/drawingml/2006/main" xmlns:pic="http://schemas.openxmlformats.org/drawingml/2006/picture">
            <wp:extent cx="2862000" cy="2545347"/>
            <wp:docPr id="4" name="Picture 4"/>
            <wp:cNvGraphicFramePr>
              <a:graphicFrameLocks noChangeAspect="1"/>
            </wp:cNvGraphicFramePr>
            <a:graphic>
              <a:graphicData uri="http://schemas.openxmlformats.org/drawingml/2006/picture">
                <pic:pic>
                  <pic:nvPicPr>
                    <pic:cNvPr id="0" name="fig4_window300.png"/>
                    <pic:cNvPicPr/>
                  </pic:nvPicPr>
                  <pic:blipFill>
                    <a:blip r:embed="rId13"/>
                    <a:stretch>
                      <a:fillRect/>
                    </a:stretch>
                  </pic:blipFill>
                  <pic:spPr>
                    <a:xfrm>
                      <a:off x="0" y="0"/>
                      <a:ext cx="2862000" cy="2545347"/>
                    </a:xfrm>
                    <a:prstGeom prst="rect"/>
                  </pic:spPr>
                </pic:pic>
              </a:graphicData>
            </a:graphic>
          </wp:inline>
        </w:drawing>
      </w:r>
    </w:p>
    <w:p>
      <w:pPr>
        <w:pStyle w:val="a3"/>
        <w:spacing w:line="240" w:lineRule="auto" w:after="80" w:before="0"/>
        <w:jc w:val="both"/>
      </w:pPr>
      <w:r>
        <w:rPr>
          <w:rFonts w:ascii="Times New Roman" w:hAnsi="Times New Roman" w:eastAsia="HY신명조"/>
          <w:sz w:val="16"/>
        </w:rPr>
        <w:t>Fig. 4. 300 nm pads: contact-probability process window over anneal T × time for a clean surface (main) and an oxidised surface (sensitivity); hatched cells change within the uncertainty set b × τ</w:t>
      </w:r>
      <w:r>
        <w:rPr>
          <w:rFonts w:ascii="Times New Roman" w:hAnsi="Times New Roman" w:eastAsia="HY신명조"/>
          <w:sz w:val="16"/>
          <w:vertAlign w:val="subscript"/>
        </w:rPr>
        <w:t>0</w:t>
      </w:r>
      <w:r>
        <w:rPr>
          <w:rFonts w:ascii="Times New Roman" w:hAnsi="Times New Roman" w:eastAsia="HY신명조"/>
          <w:sz w:val="16"/>
        </w:rPr>
        <w:t xml:space="preserve"> × Q; boxes mark the recommended cells.</w:t>
      </w:r>
    </w:p>
    <w:p>
      <w:pPr>
        <w:pStyle w:val="a3"/>
        <w:spacing w:before="80" w:line="240" w:lineRule="auto"/>
        <w:jc w:val="center"/>
      </w:pPr>
      <w:r>
        <w:drawing>
          <wp:inline xmlns:a="http://schemas.openxmlformats.org/drawingml/2006/main" xmlns:pic="http://schemas.openxmlformats.org/drawingml/2006/picture">
            <wp:extent cx="2862000" cy="2363536"/>
            <wp:docPr id="5" name="Picture 5"/>
            <wp:cNvGraphicFramePr>
              <a:graphicFrameLocks noChangeAspect="1"/>
            </wp:cNvGraphicFramePr>
            <a:graphic>
              <a:graphicData uri="http://schemas.openxmlformats.org/drawingml/2006/picture">
                <pic:pic>
                  <pic:nvPicPr>
                    <pic:cNvPr id="0" name="fig5_recess_spec.png"/>
                    <pic:cNvPicPr/>
                  </pic:nvPicPr>
                  <pic:blipFill>
                    <a:blip r:embed="rId14"/>
                    <a:stretch>
                      <a:fillRect/>
                    </a:stretch>
                  </pic:blipFill>
                  <pic:spPr>
                    <a:xfrm>
                      <a:off x="0" y="0"/>
                      <a:ext cx="2862000" cy="2363536"/>
                    </a:xfrm>
                    <a:prstGeom prst="rect"/>
                  </pic:spPr>
                </pic:pic>
              </a:graphicData>
            </a:graphic>
          </wp:inline>
        </w:drawing>
      </w:r>
    </w:p>
    <w:p>
      <w:pPr>
        <w:pStyle w:val="a3"/>
        <w:spacing w:line="240" w:lineRule="auto" w:after="80" w:before="0"/>
        <w:jc w:val="both"/>
      </w:pPr>
      <w:r>
        <w:rPr>
          <w:rFonts w:ascii="Times New Roman" w:hAnsi="Times New Roman" w:eastAsia="HY신명조"/>
          <w:sz w:val="16"/>
        </w:rPr>
        <w:t>Fig. 5. 300 nm pads: allowable CMP recess sum (top + bottom, nm) for P(contact) ≥ 0.99 for each anneal T × time (σ = 0.5 nm per pad).</w:t>
      </w:r>
    </w:p>
    <w:p>
      <w:pPr>
        <w:pStyle w:val="a3"/>
        <w:spacing w:before="80" w:line="240" w:lineRule="auto"/>
        <w:jc w:val="center"/>
      </w:pPr>
      <w:r>
        <w:drawing>
          <wp:inline xmlns:a="http://schemas.openxmlformats.org/drawingml/2006/main" xmlns:pic="http://schemas.openxmlformats.org/drawingml/2006/picture">
            <wp:extent cx="2862000" cy="3999831"/>
            <wp:docPr id="6" name="Picture 6"/>
            <wp:cNvGraphicFramePr>
              <a:graphicFrameLocks noChangeAspect="1"/>
            </wp:cNvGraphicFramePr>
            <a:graphic>
              <a:graphicData uri="http://schemas.openxmlformats.org/drawingml/2006/picture">
                <pic:pic>
                  <pic:nvPicPr>
                    <pic:cNvPr id="0" name="fig6_factors.png"/>
                    <pic:cNvPicPr/>
                  </pic:nvPicPr>
                  <pic:blipFill>
                    <a:blip r:embed="rId15"/>
                    <a:stretch>
                      <a:fillRect/>
                    </a:stretch>
                  </pic:blipFill>
                  <pic:spPr>
                    <a:xfrm>
                      <a:off x="0" y="0"/>
                      <a:ext cx="2862000" cy="3999831"/>
                    </a:xfrm>
                    <a:prstGeom prst="rect"/>
                  </pic:spPr>
                </pic:pic>
              </a:graphicData>
            </a:graphic>
          </wp:inline>
        </w:drawing>
      </w:r>
    </w:p>
    <w:p>
      <w:pPr>
        <w:pStyle w:val="a3"/>
        <w:spacing w:line="240" w:lineRule="auto" w:after="80" w:before="0"/>
        <w:jc w:val="both"/>
      </w:pPr>
      <w:r>
        <w:rPr>
          <w:rFonts w:ascii="Times New Roman" w:hAnsi="Times New Roman" w:eastAsia="HY신명조"/>
          <w:sz w:val="16"/>
        </w:rPr>
        <w:t>Fig. 6. (a) Factor ranking: number of window cells (of 15, clean surface) changed when each factor is varied, 0.30 and 0.54 µm. (b) Open-pair fraction at 300 nm with the &lt;111&gt; facet term versus without it (fine-grained-Cu proxy); zero counts are drawn at 1/n.</w:t>
      </w:r>
    </w:p>
    <w:p>
      <w:pPr>
        <w:pStyle w:val="a3"/>
        <w:spacing w:line="288" w:lineRule="auto" w:after="60" w:before="120"/>
        <w:jc w:val="center"/>
      </w:pPr>
      <w:r>
        <w:rPr>
          <w:rFonts w:ascii="Times New Roman" w:hAnsi="Times New Roman" w:eastAsia="HY신명조"/>
          <w:sz w:val="24"/>
        </w:rPr>
        <w:t>IV. 한계와 결론</w:t>
      </w:r>
    </w:p>
    <w:p>
      <w:pPr>
        <w:pStyle w:val="a3"/>
        <w:spacing w:line="288" w:lineRule="auto" w:after="0" w:before="0"/>
        <w:ind w:firstLine="180"/>
        <w:jc w:val="both"/>
      </w:pPr>
      <w:r>
        <w:rPr>
          <w:rFonts w:ascii="Times New Roman" w:hAnsi="Times New Roman" w:eastAsia="HY신명조"/>
          <w:sz w:val="18"/>
        </w:rPr>
        <w:t>Table 3에 모델 부분별 상태를 정리했다. 한계: (1) 0.54 µm 탄성 오차 +46 %의 원인은 원 데이터(Okudur 2017</w:t>
      </w:r>
      <w:r>
        <w:rPr>
          <w:rFonts w:ascii="Times New Roman" w:hAnsi="Times New Roman" w:eastAsia="HY신명조"/>
          <w:sz w:val="18"/>
          <w:vertAlign w:val="superscript"/>
        </w:rPr>
        <w:t>[11]</w:t>
      </w:r>
      <w:r>
        <w:rPr>
          <w:rFonts w:ascii="Times New Roman" w:hAnsi="Times New Roman" w:eastAsia="HY신명조"/>
          <w:sz w:val="18"/>
        </w:rPr>
        <w:t>) 부재로 미상이며, 결정 민감도 시험에서는 산화 표면 경계 2셀만 영향을 받았다. (2) 300 nm 돌출 실측은 없어 300 nm는 예측이다(확산 항은 같은 크기에서 250 °C 이상 실측 점검; 0.54 µm 확산 창은 외삽). (3) 200 °C 확산 동역학과 결정립 수·도금 후 어닐 이력은 모델 밖이다. (4) 연결 단계 접촉 FEM은 Lhostis</w:t>
      </w:r>
      <w:r>
        <w:rPr>
          <w:rFonts w:ascii="Times New Roman" w:hAnsi="Times New Roman" w:eastAsia="HY신명조"/>
          <w:sz w:val="18"/>
          <w:vertAlign w:val="superscript"/>
        </w:rPr>
        <w:t>[12]</w:t>
      </w:r>
      <w:r>
        <w:rPr>
          <w:rFonts w:ascii="Times New Roman" w:hAnsi="Times New Roman" w:eastAsia="HY신명조"/>
          <w:sz w:val="18"/>
        </w:rPr>
        <w:t>의 패드 두께 효과를 재현하지 못한다. (5) 오버레이는 범위 밖이다</w:t>
      </w:r>
      <w:r>
        <w:rPr>
          <w:rFonts w:ascii="Times New Roman" w:hAnsi="Times New Roman" w:eastAsia="HY신명조"/>
          <w:sz w:val="18"/>
          <w:vertAlign w:val="superscript"/>
        </w:rPr>
        <w:t>[1]</w:t>
      </w:r>
      <w:r>
        <w:rPr>
          <w:rFonts w:ascii="Times New Roman" w:hAnsi="Times New Roman" w:eastAsia="HY신명조"/>
          <w:sz w:val="18"/>
        </w:rPr>
        <w:t>. (6) 크리프·장시간 계면 완화는 미결이다.</w:t>
      </w:r>
    </w:p>
    <w:p>
      <w:pPr>
        <w:pStyle w:val="a3"/>
        <w:keepNext/>
        <w:spacing w:line="288" w:lineRule="auto" w:after="20" w:before="80"/>
        <w:jc w:val="center"/>
      </w:pPr>
      <w:r>
        <w:rPr>
          <w:rFonts w:ascii="Times New Roman" w:hAnsi="Times New Roman" w:eastAsia="HY신명조"/>
          <w:sz w:val="16"/>
        </w:rPr>
        <w:t>Table 3. Status of each model part.</w:t>
      </w:r>
    </w:p>
    <w:tbl>
      <w:tblPr>
        <w:tblW w:type="auto" w:w="0"/>
        <w:jc w:val="center"/>
        <w:tblLayout w:type="fixed"/>
        <w:tblLook w:firstColumn="1" w:firstRow="1" w:lastColumn="0" w:lastRow="0" w:noHBand="0" w:noVBand="1" w:val="04A0"/>
        <w:tblLayout w:type="fixed"/>
        <w:tblCellMar>
          <w:left w:w="45" w:type="dxa"/>
          <w:right w:w="45" w:type="dxa"/>
        </w:tblCellMar>
      </w:tblPr>
      <w:tblGrid>
        <w:gridCol w:w="3213"/>
        <w:gridCol w:w="3213"/>
        <w:gridCol w:w="3213"/>
      </w:tblGrid>
      <w:tr>
        <w:tc>
          <w:tcPr>
            <w:tcW w:type="dxa" w:w="1587"/>
            <w:tcBorders>
              <w:top w:val="single" w:sz="8" w:color="000000"/>
              <w:bottom w:val="nil"/>
              <w:left w:val="nil"/>
              <w:right w:val="nil"/>
            </w:tcBorders>
          </w:tcPr>
          <w:p>
            <w:pPr>
              <w:spacing w:after="0" w:line="240" w:lineRule="auto"/>
            </w:pPr>
            <w:r>
              <w:rPr>
                <w:rFonts w:ascii="Times New Roman" w:hAnsi="Times New Roman" w:eastAsia="Times New Roman"/>
                <w:b/>
                <w:sz w:val="14"/>
              </w:rPr>
              <w:t>Part</w:t>
            </w:r>
          </w:p>
        </w:tc>
        <w:tc>
          <w:tcPr>
            <w:tcW w:type="dxa" w:w="1956"/>
            <w:tcBorders>
              <w:top w:val="single" w:sz="8" w:color="000000"/>
              <w:bottom w:val="nil"/>
              <w:left w:val="nil"/>
              <w:right w:val="nil"/>
            </w:tcBorders>
          </w:tcPr>
          <w:p>
            <w:pPr>
              <w:spacing w:after="0" w:line="240" w:lineRule="auto"/>
            </w:pPr>
            <w:r>
              <w:rPr>
                <w:rFonts w:ascii="Times New Roman" w:hAnsi="Times New Roman" w:eastAsia="Times New Roman"/>
                <w:b/>
                <w:sz w:val="14"/>
              </w:rPr>
              <w:t>Status</w:t>
            </w:r>
          </w:p>
        </w:tc>
        <w:tc>
          <w:tcPr>
            <w:tcW w:type="dxa" w:w="964"/>
            <w:tcBorders>
              <w:top w:val="single" w:sz="8" w:color="000000"/>
              <w:bottom w:val="nil"/>
              <w:left w:val="nil"/>
              <w:right w:val="nil"/>
            </w:tcBorders>
          </w:tcPr>
          <w:p>
            <w:pPr>
              <w:spacing w:after="0" w:line="240" w:lineRule="auto"/>
            </w:pPr>
            <w:r>
              <w:rPr>
                <w:rFonts w:ascii="Times New Roman" w:hAnsi="Times New Roman" w:eastAsia="Times New Roman"/>
                <w:b/>
                <w:sz w:val="14"/>
              </w:rPr>
              <w:t>Evidence (commit)</w:t>
            </w:r>
          </w:p>
        </w:tc>
      </w:tr>
      <w:tr>
        <w:tc>
          <w:tcPr>
            <w:tcW w:type="dxa" w:w="1587"/>
            <w:tcBorders>
              <w:top w:val="single" w:sz="4" w:color="000000"/>
              <w:bottom w:val="nil"/>
              <w:left w:val="nil"/>
              <w:right w:val="nil"/>
            </w:tcBorders>
          </w:tcPr>
          <w:p>
            <w:pPr>
              <w:spacing w:after="0" w:line="240" w:lineRule="auto"/>
            </w:pPr>
            <w:r>
              <w:rPr>
                <w:rFonts w:ascii="Times New Roman" w:hAnsi="Times New Roman" w:eastAsia="Times New Roman"/>
                <w:b w:val="0"/>
                <w:sz w:val="14"/>
              </w:rPr>
              <w:t>Elastic u, bonded: NYCU 1 µm; imec 1.26, 0.54 µm at 100–200 °C</w:t>
            </w:r>
          </w:p>
        </w:tc>
        <w:tc>
          <w:tcPr>
            <w:tcW w:type="dxa" w:w="1956"/>
            <w:tcBorders>
              <w:top w:val="single" w:sz="4" w:color="000000"/>
              <w:bottom w:val="nil"/>
              <w:left w:val="nil"/>
              <w:right w:val="nil"/>
            </w:tcBorders>
          </w:tcPr>
          <w:p>
            <w:pPr>
              <w:spacing w:after="0" w:line="240" w:lineRule="auto"/>
            </w:pPr>
            <w:r>
              <w:rPr>
                <w:rFonts w:ascii="Times New Roman" w:hAnsi="Times New Roman" w:eastAsia="Times New Roman"/>
                <w:b w:val="0"/>
                <w:sz w:val="14"/>
              </w:rPr>
              <w:t>validated (pre-registered)</w:t>
            </w:r>
          </w:p>
        </w:tc>
        <w:tc>
          <w:tcPr>
            <w:tcW w:type="dxa" w:w="964"/>
            <w:tcBorders>
              <w:top w:val="single" w:sz="4" w:color="000000"/>
              <w:bottom w:val="nil"/>
              <w:left w:val="nil"/>
              <w:right w:val="nil"/>
            </w:tcBorders>
          </w:tcPr>
          <w:p>
            <w:pPr>
              <w:spacing w:after="0" w:line="240" w:lineRule="auto"/>
            </w:pPr>
            <w:r>
              <w:rPr>
                <w:rFonts w:ascii="Times New Roman" w:hAnsi="Times New Roman" w:eastAsia="Times New Roman"/>
                <w:b w:val="0"/>
                <w:sz w:val="14"/>
              </w:rPr>
              <w:t>33a8f5c</w:t>
            </w:r>
          </w:p>
        </w:tc>
      </w:tr>
      <w:tr>
        <w:tc>
          <w:tcPr>
            <w:tcW w:type="dxa" w:w="1587"/>
            <w:tcBorders>
              <w:top w:val="nil"/>
              <w:bottom w:val="nil"/>
              <w:left w:val="nil"/>
              <w:right w:val="nil"/>
            </w:tcBorders>
          </w:tcPr>
          <w:p>
            <w:pPr>
              <w:spacing w:after="0" w:line="240" w:lineRule="auto"/>
            </w:pPr>
            <w:r>
              <w:rPr>
                <w:rFonts w:ascii="Times New Roman" w:hAnsi="Times New Roman" w:eastAsia="Times New Roman"/>
                <w:b w:val="0"/>
                <w:sz w:val="14"/>
              </w:rPr>
              <w:t>Elastic u, imec 0.54 µm at 300–400 °C (and 1.26 µm)</w:t>
            </w:r>
          </w:p>
        </w:tc>
        <w:tc>
          <w:tcPr>
            <w:tcW w:type="dxa" w:w="1956"/>
            <w:tcBorders>
              <w:top w:val="nil"/>
              <w:bottom w:val="nil"/>
              <w:left w:val="nil"/>
              <w:right w:val="nil"/>
            </w:tcBorders>
          </w:tcPr>
          <w:p>
            <w:pPr>
              <w:spacing w:after="0" w:line="240" w:lineRule="auto"/>
            </w:pPr>
            <w:r>
              <w:rPr>
                <w:rFonts w:ascii="Times New Roman" w:hAnsi="Times New Roman" w:eastAsia="Times New Roman"/>
                <w:b w:val="0"/>
                <w:sz w:val="14"/>
              </w:rPr>
              <w:t>not validated (+46 % at 0.54 µm); decision sensitivity OPEN (2 oxidised boundary cells)</w:t>
            </w:r>
          </w:p>
        </w:tc>
        <w:tc>
          <w:tcPr>
            <w:tcW w:type="dxa" w:w="964"/>
            <w:tcBorders>
              <w:top w:val="nil"/>
              <w:bottom w:val="nil"/>
              <w:left w:val="nil"/>
              <w:right w:val="nil"/>
            </w:tcBorders>
          </w:tcPr>
          <w:p>
            <w:pPr>
              <w:spacing w:after="0" w:line="240" w:lineRule="auto"/>
            </w:pPr>
            <w:r>
              <w:rPr>
                <w:rFonts w:ascii="Times New Roman" w:hAnsi="Times New Roman" w:eastAsia="Times New Roman"/>
                <w:b w:val="0"/>
                <w:sz w:val="14"/>
              </w:rPr>
              <w:t>2acfd92 / 5c1e819</w:t>
            </w:r>
          </w:p>
        </w:tc>
      </w:tr>
      <w:tr>
        <w:tc>
          <w:tcPr>
            <w:tcW w:type="dxa" w:w="1587"/>
            <w:tcBorders>
              <w:top w:val="nil"/>
              <w:bottom w:val="nil"/>
              <w:left w:val="nil"/>
              <w:right w:val="nil"/>
            </w:tcBorders>
          </w:tcPr>
          <w:p>
            <w:pPr>
              <w:spacing w:after="0" w:line="240" w:lineRule="auto"/>
            </w:pPr>
            <w:r>
              <w:rPr>
                <w:rFonts w:ascii="Times New Roman" w:hAnsi="Times New Roman" w:eastAsia="Times New Roman"/>
                <w:b w:val="0"/>
                <w:sz w:val="14"/>
              </w:rPr>
              <w:t>Diffusion h_d, fixed form</w:t>
            </w:r>
          </w:p>
        </w:tc>
        <w:tc>
          <w:tcPr>
            <w:tcW w:type="dxa" w:w="1956"/>
            <w:tcBorders>
              <w:top w:val="nil"/>
              <w:bottom w:val="nil"/>
              <w:left w:val="nil"/>
              <w:right w:val="nil"/>
            </w:tcBorders>
          </w:tcPr>
          <w:p>
            <w:pPr>
              <w:spacing w:after="0" w:line="240" w:lineRule="auto"/>
            </w:pPr>
            <w:r>
              <w:rPr>
                <w:rFonts w:ascii="Times New Roman" w:hAnsi="Times New Roman" w:eastAsia="Times New Roman"/>
                <w:b w:val="0"/>
                <w:sz w:val="14"/>
              </w:rPr>
              <w:t>not validated (2/17)</w:t>
            </w:r>
          </w:p>
        </w:tc>
        <w:tc>
          <w:tcPr>
            <w:tcW w:type="dxa" w:w="964"/>
            <w:tcBorders>
              <w:top w:val="nil"/>
              <w:bottom w:val="nil"/>
              <w:left w:val="nil"/>
              <w:right w:val="nil"/>
            </w:tcBorders>
          </w:tcPr>
          <w:p>
            <w:pPr>
              <w:spacing w:after="0" w:line="240" w:lineRule="auto"/>
            </w:pPr>
            <w:r>
              <w:rPr>
                <w:rFonts w:ascii="Times New Roman" w:hAnsi="Times New Roman" w:eastAsia="Times New Roman"/>
                <w:b w:val="0"/>
                <w:sz w:val="14"/>
              </w:rPr>
              <w:t>9c6bc29 / 5fa0e05</w:t>
            </w:r>
          </w:p>
        </w:tc>
      </w:tr>
      <w:tr>
        <w:tc>
          <w:tcPr>
            <w:tcW w:type="dxa" w:w="1587"/>
            <w:tcBorders>
              <w:top w:val="nil"/>
              <w:bottom w:val="nil"/>
              <w:left w:val="nil"/>
              <w:right w:val="nil"/>
            </w:tcBorders>
          </w:tcPr>
          <w:p>
            <w:pPr>
              <w:spacing w:after="0" w:line="240" w:lineRule="auto"/>
            </w:pPr>
            <w:r>
              <w:rPr>
                <w:rFonts w:ascii="Times New Roman" w:hAnsi="Times New Roman" w:eastAsia="Times New Roman"/>
                <w:b w:val="0"/>
                <w:sz w:val="14"/>
              </w:rPr>
              <w:t>Diffusion h_d, revision 1 (θ_eff)</w:t>
            </w:r>
          </w:p>
        </w:tc>
        <w:tc>
          <w:tcPr>
            <w:tcW w:type="dxa" w:w="1956"/>
            <w:tcBorders>
              <w:top w:val="nil"/>
              <w:bottom w:val="nil"/>
              <w:left w:val="nil"/>
              <w:right w:val="nil"/>
            </w:tcBorders>
          </w:tcPr>
          <w:p>
            <w:pPr>
              <w:spacing w:after="0" w:line="240" w:lineRule="auto"/>
            </w:pPr>
            <w:r>
              <w:rPr>
                <w:rFonts w:ascii="Times New Roman" w:hAnsi="Times New Roman" w:eastAsia="Times New Roman"/>
                <w:b w:val="0"/>
                <w:sz w:val="14"/>
              </w:rPr>
              <w:t>not validated by rule (11/17); 5/5 PPA-Cu at ≥ 250 °C</w:t>
            </w:r>
          </w:p>
        </w:tc>
        <w:tc>
          <w:tcPr>
            <w:tcW w:type="dxa" w:w="964"/>
            <w:tcBorders>
              <w:top w:val="nil"/>
              <w:bottom w:val="nil"/>
              <w:left w:val="nil"/>
              <w:right w:val="nil"/>
            </w:tcBorders>
          </w:tcPr>
          <w:p>
            <w:pPr>
              <w:spacing w:after="0" w:line="240" w:lineRule="auto"/>
            </w:pPr>
            <w:r>
              <w:rPr>
                <w:rFonts w:ascii="Times New Roman" w:hAnsi="Times New Roman" w:eastAsia="Times New Roman"/>
                <w:b w:val="0"/>
                <w:sz w:val="14"/>
              </w:rPr>
              <w:t>eb347c1 / 5221d33</w:t>
            </w:r>
          </w:p>
        </w:tc>
      </w:tr>
      <w:tr>
        <w:tc>
          <w:tcPr>
            <w:tcW w:type="dxa" w:w="1587"/>
            <w:tcBorders>
              <w:top w:val="nil"/>
              <w:bottom w:val="nil"/>
              <w:left w:val="nil"/>
              <w:right w:val="nil"/>
            </w:tcBorders>
          </w:tcPr>
          <w:p>
            <w:pPr>
              <w:spacing w:after="0" w:line="240" w:lineRule="auto"/>
            </w:pPr>
            <w:r>
              <w:rPr>
                <w:rFonts w:ascii="Times New Roman" w:hAnsi="Times New Roman" w:eastAsia="Times New Roman"/>
                <w:b w:val="0"/>
                <w:sz w:val="14"/>
              </w:rPr>
              <w:t>Orientation amplitude f(ω)</w:t>
            </w:r>
          </w:p>
        </w:tc>
        <w:tc>
          <w:tcPr>
            <w:tcW w:type="dxa" w:w="1956"/>
            <w:tcBorders>
              <w:top w:val="nil"/>
              <w:bottom w:val="nil"/>
              <w:left w:val="nil"/>
              <w:right w:val="nil"/>
            </w:tcBorders>
          </w:tcPr>
          <w:p>
            <w:pPr>
              <w:spacing w:after="0" w:line="240" w:lineRule="auto"/>
            </w:pPr>
            <w:r>
              <w:rPr>
                <w:rFonts w:ascii="Times New Roman" w:hAnsi="Times New Roman" w:eastAsia="Times New Roman"/>
                <w:b w:val="0"/>
                <w:sz w:val="14"/>
              </w:rPr>
              <w:t>exploratory round 2: IQR 10/17</w:t>
            </w:r>
          </w:p>
        </w:tc>
        <w:tc>
          <w:tcPr>
            <w:tcW w:type="dxa" w:w="964"/>
            <w:tcBorders>
              <w:top w:val="nil"/>
              <w:bottom w:val="nil"/>
              <w:left w:val="nil"/>
              <w:right w:val="nil"/>
            </w:tcBorders>
          </w:tcPr>
          <w:p>
            <w:pPr>
              <w:spacing w:after="0" w:line="240" w:lineRule="auto"/>
            </w:pPr>
            <w:r>
              <w:rPr>
                <w:rFonts w:ascii="Times New Roman" w:hAnsi="Times New Roman" w:eastAsia="Times New Roman"/>
                <w:b w:val="0"/>
                <w:sz w:val="14"/>
              </w:rPr>
              <w:t>6696562 / d722e67</w:t>
            </w:r>
          </w:p>
        </w:tc>
      </w:tr>
      <w:tr>
        <w:tc>
          <w:tcPr>
            <w:tcW w:type="dxa" w:w="1587"/>
            <w:tcBorders>
              <w:top w:val="nil"/>
              <w:bottom w:val="nil"/>
              <w:left w:val="nil"/>
              <w:right w:val="nil"/>
            </w:tcBorders>
          </w:tcPr>
          <w:p>
            <w:pPr>
              <w:spacing w:after="0" w:line="240" w:lineRule="auto"/>
            </w:pPr>
            <w:r>
              <w:rPr>
                <w:rFonts w:ascii="Times New Roman" w:hAnsi="Times New Roman" w:eastAsia="Times New Roman"/>
                <w:b w:val="0"/>
                <w:sz w:val="14"/>
              </w:rPr>
              <w:t>Ayoub ε′zz</w:t>
            </w:r>
          </w:p>
        </w:tc>
        <w:tc>
          <w:tcPr>
            <w:tcW w:type="dxa" w:w="1956"/>
            <w:tcBorders>
              <w:top w:val="nil"/>
              <w:bottom w:val="nil"/>
              <w:left w:val="nil"/>
              <w:right w:val="nil"/>
            </w:tcBorders>
          </w:tcPr>
          <w:p>
            <w:pPr>
              <w:spacing w:after="0" w:line="240" w:lineRule="auto"/>
            </w:pPr>
            <w:r>
              <w:rPr>
                <w:rFonts w:ascii="Times New Roman" w:hAnsi="Times New Roman" w:eastAsia="Times New Roman"/>
                <w:b w:val="0"/>
                <w:sz w:val="14"/>
              </w:rPr>
              <w:t>3 µm sign agrees; 300 nm sign disagrees (interface hypothesis)</w:t>
            </w:r>
          </w:p>
        </w:tc>
        <w:tc>
          <w:tcPr>
            <w:tcW w:type="dxa" w:w="964"/>
            <w:tcBorders>
              <w:top w:val="nil"/>
              <w:bottom w:val="nil"/>
              <w:left w:val="nil"/>
              <w:right w:val="nil"/>
            </w:tcBorders>
          </w:tcPr>
          <w:p>
            <w:pPr>
              <w:spacing w:after="0" w:line="240" w:lineRule="auto"/>
            </w:pPr>
            <w:r>
              <w:rPr>
                <w:rFonts w:ascii="Times New Roman" w:hAnsi="Times New Roman" w:eastAsia="Times New Roman"/>
                <w:b w:val="0"/>
                <w:sz w:val="14"/>
              </w:rPr>
              <w:t>63869bb / f7818ad</w:t>
            </w:r>
          </w:p>
        </w:tc>
      </w:tr>
      <w:tr>
        <w:tc>
          <w:tcPr>
            <w:tcW w:type="dxa" w:w="1587"/>
            <w:tcBorders>
              <w:top w:val="nil"/>
              <w:bottom w:val="nil"/>
              <w:left w:val="nil"/>
              <w:right w:val="nil"/>
            </w:tcBorders>
          </w:tcPr>
          <w:p>
            <w:pPr>
              <w:spacing w:after="0" w:line="240" w:lineRule="auto"/>
            </w:pPr>
            <w:r>
              <w:rPr>
                <w:rFonts w:ascii="Times New Roman" w:hAnsi="Times New Roman" w:eastAsia="Times New Roman"/>
                <w:b w:val="0"/>
                <w:sz w:val="14"/>
              </w:rPr>
              <w:t>Connection-stage contact FEM</w:t>
            </w:r>
          </w:p>
        </w:tc>
        <w:tc>
          <w:tcPr>
            <w:tcW w:type="dxa" w:w="1956"/>
            <w:tcBorders>
              <w:top w:val="nil"/>
              <w:bottom w:val="nil"/>
              <w:left w:val="nil"/>
              <w:right w:val="nil"/>
            </w:tcBorders>
          </w:tcPr>
          <w:p>
            <w:pPr>
              <w:spacing w:after="0" w:line="240" w:lineRule="auto"/>
            </w:pPr>
            <w:r>
              <w:rPr>
                <w:rFonts w:ascii="Times New Roman" w:hAnsi="Times New Roman" w:eastAsia="Times New Roman"/>
                <w:b w:val="0"/>
                <w:sz w:val="14"/>
              </w:rPr>
              <w:t>Lhostis thickness test failed twice</w:t>
            </w:r>
          </w:p>
        </w:tc>
        <w:tc>
          <w:tcPr>
            <w:tcW w:type="dxa" w:w="964"/>
            <w:tcBorders>
              <w:top w:val="nil"/>
              <w:bottom w:val="nil"/>
              <w:left w:val="nil"/>
              <w:right w:val="nil"/>
            </w:tcBorders>
          </w:tcPr>
          <w:p>
            <w:pPr>
              <w:spacing w:after="0" w:line="240" w:lineRule="auto"/>
            </w:pPr>
            <w:r>
              <w:rPr>
                <w:rFonts w:ascii="Times New Roman" w:hAnsi="Times New Roman" w:eastAsia="Times New Roman"/>
                <w:b w:val="0"/>
                <w:sz w:val="14"/>
              </w:rPr>
              <w:t>6696562 / dced86f / 46924cc</w:t>
            </w:r>
          </w:p>
        </w:tc>
      </w:tr>
      <w:tr>
        <w:tc>
          <w:tcPr>
            <w:tcW w:type="dxa" w:w="1587"/>
            <w:tcBorders>
              <w:top w:val="nil"/>
              <w:bottom w:val="single" w:sz="8" w:color="000000"/>
              <w:left w:val="nil"/>
              <w:right w:val="nil"/>
            </w:tcBorders>
          </w:tcPr>
          <w:p>
            <w:pPr>
              <w:spacing w:after="0" w:line="240" w:lineRule="auto"/>
            </w:pPr>
            <w:r>
              <w:rPr>
                <w:rFonts w:ascii="Times New Roman" w:hAnsi="Times New Roman" w:eastAsia="Times New Roman"/>
                <w:b w:val="0"/>
                <w:sz w:val="14"/>
              </w:rPr>
              <w:t>300 nm window</w:t>
            </w:r>
          </w:p>
        </w:tc>
        <w:tc>
          <w:tcPr>
            <w:tcW w:type="dxa" w:w="1956"/>
            <w:tcBorders>
              <w:top w:val="nil"/>
              <w:bottom w:val="single" w:sz="8" w:color="000000"/>
              <w:left w:val="nil"/>
              <w:right w:val="nil"/>
            </w:tcBorders>
          </w:tcPr>
          <w:p>
            <w:pPr>
              <w:spacing w:after="0" w:line="240" w:lineRule="auto"/>
            </w:pPr>
            <w:r>
              <w:rPr>
                <w:rFonts w:ascii="Times New Roman" w:hAnsi="Times New Roman" w:eastAsia="Times New Roman"/>
                <w:b w:val="0"/>
                <w:sz w:val="14"/>
              </w:rPr>
              <w:t>prediction with uncertainty</w:t>
            </w:r>
          </w:p>
        </w:tc>
        <w:tc>
          <w:tcPr>
            <w:tcW w:type="dxa" w:w="964"/>
            <w:tcBorders>
              <w:top w:val="nil"/>
              <w:bottom w:val="single" w:sz="8" w:color="000000"/>
              <w:left w:val="nil"/>
              <w:right w:val="nil"/>
            </w:tcBorders>
          </w:tcPr>
          <w:p>
            <w:pPr>
              <w:spacing w:after="0" w:line="240" w:lineRule="auto"/>
            </w:pPr>
            <w:r>
              <w:rPr>
                <w:rFonts w:ascii="Times New Roman" w:hAnsi="Times New Roman" w:eastAsia="Times New Roman"/>
                <w:b w:val="0"/>
                <w:sz w:val="14"/>
              </w:rPr>
              <w:t>80389d5 / 9dbd0c0</w:t>
            </w:r>
          </w:p>
        </w:tc>
      </w:tr>
    </w:tbl>
    <w:p>
      <w:pPr>
        <w:pStyle w:val="a3"/>
        <w:spacing w:line="288" w:lineRule="auto" w:after="0" w:before="0"/>
        <w:jc w:val="both"/>
      </w:pPr>
    </w:p>
    <w:p>
      <w:pPr>
        <w:pStyle w:val="a3"/>
        <w:spacing w:line="288" w:lineRule="auto" w:after="0" w:before="0"/>
        <w:ind w:firstLine="180"/>
        <w:jc w:val="both"/>
      </w:pPr>
      <w:r>
        <w:rPr>
          <w:rFonts w:ascii="Times New Roman" w:hAnsi="Times New Roman" w:eastAsia="HY신명조"/>
          <w:sz w:val="18"/>
        </w:rPr>
        <w:t>결론적으로 1 µm 아래에서 Cu 하이브리드 본딩의 접촉은 열탄성 팽창이 아니라 표면확산이 결정하며(recess 합 5 nm에서 전환 ≈ 0.7 µm), 레시피 변수는 어닐 온도·시간·표면 상태·라이너·결정 방위(&lt;111&gt; 텍스처 분율)로 옮겨간다. 주장 수위는 "검증된 레시피"가 아니라 "검증 통과 범위의 탄성 모델과 실측으로 점검한 확산 모델로 본 공정창 예측(불확실도 포함)"이다. 향후 표면확산을 FEM 안에 넣어 방위별 표면에너지 γ(ω)로 f(ω)를 대체하고, 미세결정 Cu 실측을 보정점으로 한 다음 사전등록을 수행한다.</w:t>
      </w:r>
    </w:p>
    <w:p>
      <w:pPr>
        <w:pStyle w:val="a3"/>
        <w:spacing w:line="288" w:lineRule="auto" w:after="60" w:before="120"/>
        <w:jc w:val="center"/>
      </w:pPr>
      <w:r>
        <w:rPr>
          <w:rFonts w:ascii="Times New Roman" w:hAnsi="Times New Roman" w:eastAsia="HY신명조"/>
          <w:sz w:val="24"/>
        </w:rPr>
        <w:t>참고문헌</w:t>
      </w:r>
    </w:p>
    <w:p>
      <w:pPr>
        <w:pStyle w:val="a3"/>
        <w:spacing w:line="240" w:lineRule="auto"/>
        <w:ind w:left="260" w:hanging="260"/>
      </w:pPr>
      <w:r>
        <w:rPr>
          <w:rFonts w:ascii="Times New Roman" w:hAnsi="Times New Roman" w:eastAsia="HY신명조"/>
          <w:sz w:val="16"/>
        </w:rPr>
        <w:t>[1]</w:t>
      </w:r>
      <w:r>
        <w:rPr>
          <w:rFonts w:ascii="Times New Roman" w:hAnsi="Times New Roman" w:eastAsia="HY신명조"/>
          <w:sz w:val="16"/>
        </w:rPr>
        <w:t xml:space="preserve"> </w:t>
      </w:r>
      <w:r>
        <w:rPr>
          <w:rFonts w:ascii="Times New Roman" w:hAnsi="Times New Roman" w:eastAsia="HY신명조"/>
          <w:sz w:val="16"/>
        </w:rPr>
        <w:t xml:space="preserve">S. Van Huylenbroeck et al., "Wafer-to-wafer hybrid bonding technology with 200nm interconnect pitch," in </w:t>
      </w:r>
      <w:r>
        <w:rPr>
          <w:rFonts w:ascii="Times New Roman" w:hAnsi="Times New Roman" w:eastAsia="HY신명조"/>
          <w:i/>
          <w:sz w:val="16"/>
        </w:rPr>
        <w:t>Proc. IEEE ECTC</w:t>
      </w:r>
      <w:r>
        <w:rPr>
          <w:rFonts w:ascii="Times New Roman" w:hAnsi="Times New Roman" w:eastAsia="HY신명조"/>
          <w:sz w:val="16"/>
        </w:rPr>
        <w:t>, 2026.</w:t>
      </w:r>
    </w:p>
    <w:p>
      <w:pPr>
        <w:pStyle w:val="a3"/>
        <w:spacing w:line="240" w:lineRule="auto"/>
        <w:ind w:left="260" w:hanging="260"/>
      </w:pPr>
      <w:r>
        <w:rPr>
          <w:rFonts w:ascii="Times New Roman" w:hAnsi="Times New Roman" w:eastAsia="HY신명조"/>
          <w:sz w:val="16"/>
        </w:rPr>
        <w:t>[2]</w:t>
      </w:r>
      <w:r>
        <w:rPr>
          <w:rFonts w:ascii="Times New Roman" w:hAnsi="Times New Roman" w:eastAsia="HY신명조"/>
          <w:sz w:val="16"/>
        </w:rPr>
        <w:t xml:space="preserve"> </w:t>
      </w:r>
      <w:r>
        <w:rPr>
          <w:rFonts w:ascii="Times New Roman" w:hAnsi="Times New Roman" w:eastAsia="HY신명조"/>
          <w:sz w:val="16"/>
        </w:rPr>
        <w:t xml:space="preserve">J. De Messemaeker et al., "New Cu 'bulge-out' mechanism supporting sub-micron scaling of hybrid wafer-to-wafer bonding," in </w:t>
      </w:r>
      <w:r>
        <w:rPr>
          <w:rFonts w:ascii="Times New Roman" w:hAnsi="Times New Roman" w:eastAsia="HY신명조"/>
          <w:i/>
          <w:sz w:val="16"/>
        </w:rPr>
        <w:t>Proc. IEEE ECTC</w:t>
      </w:r>
      <w:r>
        <w:rPr>
          <w:rFonts w:ascii="Times New Roman" w:hAnsi="Times New Roman" w:eastAsia="HY신명조"/>
          <w:sz w:val="16"/>
        </w:rPr>
        <w:t>, pp. 1042–1049, 2023.</w:t>
      </w:r>
    </w:p>
    <w:p>
      <w:pPr>
        <w:pStyle w:val="a3"/>
        <w:spacing w:line="240" w:lineRule="auto"/>
        <w:ind w:left="260" w:hanging="260"/>
      </w:pPr>
      <w:r>
        <w:rPr>
          <w:rFonts w:ascii="Times New Roman" w:hAnsi="Times New Roman" w:eastAsia="HY신명조"/>
          <w:sz w:val="16"/>
        </w:rPr>
        <w:t>[3]</w:t>
      </w:r>
      <w:r>
        <w:rPr>
          <w:rFonts w:ascii="Times New Roman" w:hAnsi="Times New Roman" w:eastAsia="HY신명조"/>
          <w:sz w:val="16"/>
        </w:rPr>
        <w:t xml:space="preserve"> </w:t>
      </w:r>
      <w:r>
        <w:rPr>
          <w:rFonts w:ascii="Times New Roman" w:hAnsi="Times New Roman" w:eastAsia="HY신명조"/>
          <w:sz w:val="16"/>
        </w:rPr>
        <w:t xml:space="preserve">J. De Messemaeker et al., "Understanding scaling and temperature limits in Cu bulge-out mechanism for hybrid wafer-to-wafer bonding," in </w:t>
      </w:r>
      <w:r>
        <w:rPr>
          <w:rFonts w:ascii="Times New Roman" w:hAnsi="Times New Roman" w:eastAsia="HY신명조"/>
          <w:i/>
          <w:sz w:val="16"/>
        </w:rPr>
        <w:t>Proc. IEEE ECTC</w:t>
      </w:r>
      <w:r>
        <w:rPr>
          <w:rFonts w:ascii="Times New Roman" w:hAnsi="Times New Roman" w:eastAsia="HY신명조"/>
          <w:sz w:val="16"/>
        </w:rPr>
        <w:t>, pp. 2158–2162, 2026, doi:10.1109/ECTC51846.2026.00355.</w:t>
      </w:r>
    </w:p>
    <w:p>
      <w:pPr>
        <w:pStyle w:val="a3"/>
        <w:spacing w:line="240" w:lineRule="auto"/>
        <w:ind w:left="260" w:hanging="260"/>
      </w:pPr>
      <w:r>
        <w:rPr>
          <w:rFonts w:ascii="Times New Roman" w:hAnsi="Times New Roman" w:eastAsia="HY신명조"/>
          <w:sz w:val="16"/>
        </w:rPr>
        <w:t>[4]</w:t>
      </w:r>
      <w:r>
        <w:rPr>
          <w:rFonts w:ascii="Times New Roman" w:hAnsi="Times New Roman" w:eastAsia="HY신명조"/>
          <w:sz w:val="16"/>
        </w:rPr>
        <w:t xml:space="preserve"> </w:t>
      </w:r>
      <w:r>
        <w:rPr>
          <w:rFonts w:ascii="Times New Roman" w:hAnsi="Times New Roman" w:eastAsia="HY신명조"/>
          <w:sz w:val="16"/>
        </w:rPr>
        <w:t xml:space="preserve">B. Ayoub et al., "In-situ characterization of thermomechanical behavior of copper nano-interconnect for 3D integration," </w:t>
      </w:r>
      <w:r>
        <w:rPr>
          <w:rFonts w:ascii="Times New Roman" w:hAnsi="Times New Roman" w:eastAsia="HY신명조"/>
          <w:i/>
          <w:sz w:val="16"/>
        </w:rPr>
        <w:t>Microelectron. Eng.</w:t>
      </w:r>
      <w:r>
        <w:rPr>
          <w:rFonts w:ascii="Times New Roman" w:hAnsi="Times New Roman" w:eastAsia="HY신명조"/>
          <w:sz w:val="16"/>
        </w:rPr>
        <w:t>, vol. 261, 111809, 2022.</w:t>
      </w:r>
    </w:p>
    <w:p>
      <w:pPr>
        <w:pStyle w:val="a3"/>
        <w:spacing w:line="240" w:lineRule="auto"/>
        <w:ind w:left="260" w:hanging="260"/>
      </w:pPr>
      <w:r>
        <w:rPr>
          <w:rFonts w:ascii="Times New Roman" w:hAnsi="Times New Roman" w:eastAsia="HY신명조"/>
          <w:sz w:val="16"/>
        </w:rPr>
        <w:t>[5]</w:t>
      </w:r>
      <w:r>
        <w:rPr>
          <w:rFonts w:ascii="Times New Roman" w:hAnsi="Times New Roman" w:eastAsia="HY신명조"/>
          <w:sz w:val="16"/>
        </w:rPr>
        <w:t xml:space="preserve"> </w:t>
      </w:r>
      <w:r>
        <w:rPr>
          <w:rFonts w:ascii="Times New Roman" w:hAnsi="Times New Roman" w:eastAsia="HY신명조"/>
          <w:sz w:val="16"/>
        </w:rPr>
        <w:t xml:space="preserve">H.-E. Lin et al., "Revealing challenges of downscaling effects on Cu thermal expansion in advanced hybrid bonding using in-situ AFM," </w:t>
      </w:r>
      <w:r>
        <w:rPr>
          <w:rFonts w:ascii="Times New Roman" w:hAnsi="Times New Roman" w:eastAsia="HY신명조"/>
          <w:i/>
          <w:sz w:val="16"/>
        </w:rPr>
        <w:t>Appl. Surf. Sci.</w:t>
      </w:r>
      <w:r>
        <w:rPr>
          <w:rFonts w:ascii="Times New Roman" w:hAnsi="Times New Roman" w:eastAsia="HY신명조"/>
          <w:sz w:val="16"/>
        </w:rPr>
        <w:t>, vol. 689, 162539, 2025.</w:t>
      </w:r>
    </w:p>
    <w:p>
      <w:pPr>
        <w:pStyle w:val="a3"/>
        <w:spacing w:line="240" w:lineRule="auto"/>
        <w:ind w:left="260" w:hanging="260"/>
      </w:pPr>
      <w:r>
        <w:rPr>
          <w:rFonts w:ascii="Times New Roman" w:hAnsi="Times New Roman" w:eastAsia="HY신명조"/>
          <w:sz w:val="16"/>
        </w:rPr>
        <w:t>[6]</w:t>
      </w:r>
      <w:r>
        <w:rPr>
          <w:rFonts w:ascii="Times New Roman" w:hAnsi="Times New Roman" w:eastAsia="HY신명조"/>
          <w:sz w:val="16"/>
        </w:rPr>
        <w:t xml:space="preserve"> </w:t>
      </w:r>
      <w:r>
        <w:rPr>
          <w:rFonts w:ascii="Times New Roman" w:hAnsi="Times New Roman" w:eastAsia="HY신명조"/>
          <w:sz w:val="16"/>
        </w:rPr>
        <w:t xml:space="preserve">P.-L. Chen et al., [확인 필요: title], in </w:t>
      </w:r>
      <w:r>
        <w:rPr>
          <w:rFonts w:ascii="Times New Roman" w:hAnsi="Times New Roman" w:eastAsia="HY신명조"/>
          <w:i/>
          <w:sz w:val="16"/>
        </w:rPr>
        <w:t>Proc. IEEE ECTC</w:t>
      </w:r>
      <w:r>
        <w:rPr>
          <w:rFonts w:ascii="Times New Roman" w:hAnsi="Times New Roman" w:eastAsia="HY신명조"/>
          <w:sz w:val="16"/>
        </w:rPr>
        <w:t>, 2025, doi:10.1109/ECTC51687.2025.00329.</w:t>
      </w:r>
    </w:p>
    <w:p>
      <w:pPr>
        <w:pStyle w:val="a3"/>
        <w:spacing w:line="240" w:lineRule="auto"/>
        <w:ind w:left="260" w:hanging="260"/>
      </w:pPr>
      <w:r>
        <w:rPr>
          <w:rFonts w:ascii="Times New Roman" w:hAnsi="Times New Roman" w:eastAsia="HY신명조"/>
          <w:sz w:val="16"/>
        </w:rPr>
        <w:t>[7]</w:t>
      </w:r>
      <w:r>
        <w:rPr>
          <w:rFonts w:ascii="Times New Roman" w:hAnsi="Times New Roman" w:eastAsia="HY신명조"/>
          <w:sz w:val="16"/>
        </w:rPr>
        <w:t xml:space="preserve"> </w:t>
      </w:r>
      <w:r>
        <w:rPr>
          <w:rFonts w:ascii="Times New Roman" w:hAnsi="Times New Roman" w:eastAsia="HY신명조"/>
          <w:sz w:val="16"/>
        </w:rPr>
        <w:t xml:space="preserve">J. De Messemaeker, K. Van Sever, Y. W. Tsau, B. Zhang, K. Croes, and E. Beyne, "Simulation of bulge-out mechanism enabling sub-0.5 µm scaling of hybrid wafer-to-wafer bonding," in </w:t>
      </w:r>
      <w:r>
        <w:rPr>
          <w:rFonts w:ascii="Times New Roman" w:hAnsi="Times New Roman" w:eastAsia="HY신명조"/>
          <w:i/>
          <w:sz w:val="16"/>
        </w:rPr>
        <w:t>Proc. IEEE ECTC</w:t>
      </w:r>
      <w:r>
        <w:rPr>
          <w:rFonts w:ascii="Times New Roman" w:hAnsi="Times New Roman" w:eastAsia="HY신명조"/>
          <w:sz w:val="16"/>
        </w:rPr>
        <w:t>, 2024.</w:t>
      </w:r>
    </w:p>
    <w:p>
      <w:pPr>
        <w:pStyle w:val="a3"/>
        <w:spacing w:line="240" w:lineRule="auto"/>
        <w:ind w:left="260" w:hanging="260"/>
      </w:pPr>
      <w:r>
        <w:rPr>
          <w:rFonts w:ascii="Times New Roman" w:hAnsi="Times New Roman" w:eastAsia="HY신명조"/>
          <w:sz w:val="16"/>
        </w:rPr>
        <w:t>[8]</w:t>
      </w:r>
      <w:r>
        <w:rPr>
          <w:rFonts w:ascii="Times New Roman" w:hAnsi="Times New Roman" w:eastAsia="HY신명조"/>
          <w:sz w:val="16"/>
        </w:rPr>
        <w:t xml:space="preserve"> </w:t>
      </w:r>
      <w:r>
        <w:rPr>
          <w:rFonts w:ascii="Times New Roman" w:hAnsi="Times New Roman" w:eastAsia="HY신명조"/>
          <w:sz w:val="16"/>
        </w:rPr>
        <w:t xml:space="preserve">Y. W. Tsau et al., [확인 필요: title, volume, pages], </w:t>
      </w:r>
      <w:r>
        <w:rPr>
          <w:rFonts w:ascii="Times New Roman" w:hAnsi="Times New Roman" w:eastAsia="HY신명조"/>
          <w:i/>
          <w:sz w:val="16"/>
        </w:rPr>
        <w:t>Microelectron. Reliab.</w:t>
      </w:r>
      <w:r>
        <w:rPr>
          <w:rFonts w:ascii="Times New Roman" w:hAnsi="Times New Roman" w:eastAsia="HY신명조"/>
          <w:sz w:val="16"/>
        </w:rPr>
        <w:t>, 2022.</w:t>
      </w:r>
    </w:p>
    <w:p>
      <w:pPr>
        <w:pStyle w:val="a3"/>
        <w:spacing w:line="240" w:lineRule="auto"/>
        <w:ind w:left="260" w:hanging="260"/>
      </w:pPr>
      <w:r>
        <w:rPr>
          <w:rFonts w:ascii="Times New Roman" w:hAnsi="Times New Roman" w:eastAsia="HY신명조"/>
          <w:sz w:val="16"/>
        </w:rPr>
        <w:t>[9]</w:t>
      </w:r>
      <w:r>
        <w:rPr>
          <w:rFonts w:ascii="Times New Roman" w:hAnsi="Times New Roman" w:eastAsia="HY신명조"/>
          <w:sz w:val="16"/>
        </w:rPr>
        <w:t xml:space="preserve"> </w:t>
      </w:r>
      <w:r>
        <w:rPr>
          <w:rFonts w:ascii="Times New Roman" w:hAnsi="Times New Roman" w:eastAsia="HY신명조"/>
          <w:sz w:val="16"/>
        </w:rPr>
        <w:t xml:space="preserve">D. B. Butrymowicz, J. R. Manning, and M. E. Read, "Diffusion in copper and copper alloys, Part I," </w:t>
      </w:r>
      <w:r>
        <w:rPr>
          <w:rFonts w:ascii="Times New Roman" w:hAnsi="Times New Roman" w:eastAsia="HY신명조"/>
          <w:i/>
          <w:sz w:val="16"/>
        </w:rPr>
        <w:t>J. Phys. Chem. Ref. Data</w:t>
      </w:r>
      <w:r>
        <w:rPr>
          <w:rFonts w:ascii="Times New Roman" w:hAnsi="Times New Roman" w:eastAsia="HY신명조"/>
          <w:sz w:val="16"/>
        </w:rPr>
        <w:t>, vol. 2, pp. 643–655, 1973.</w:t>
      </w:r>
    </w:p>
    <w:p>
      <w:pPr>
        <w:pStyle w:val="a3"/>
        <w:spacing w:line="240" w:lineRule="auto"/>
        <w:ind w:left="260" w:hanging="260"/>
      </w:pPr>
      <w:r>
        <w:rPr>
          <w:rFonts w:ascii="Times New Roman" w:hAnsi="Times New Roman" w:eastAsia="HY신명조"/>
          <w:sz w:val="16"/>
        </w:rPr>
        <w:t>[10]</w:t>
      </w:r>
      <w:r>
        <w:rPr>
          <w:rFonts w:ascii="Times New Roman" w:hAnsi="Times New Roman" w:eastAsia="HY신명조"/>
          <w:sz w:val="16"/>
        </w:rPr>
        <w:t xml:space="preserve"> </w:t>
      </w:r>
      <w:r>
        <w:rPr>
          <w:rFonts w:ascii="Times New Roman" w:hAnsi="Times New Roman" w:eastAsia="HY신명조"/>
          <w:sz w:val="16"/>
        </w:rPr>
        <w:t xml:space="preserve">S. Van Huylenbroeck et al., [확인 필요: title], in </w:t>
      </w:r>
      <w:r>
        <w:rPr>
          <w:rFonts w:ascii="Times New Roman" w:hAnsi="Times New Roman" w:eastAsia="HY신명조"/>
          <w:i/>
          <w:sz w:val="16"/>
        </w:rPr>
        <w:t>Proc. IEEE IRPS</w:t>
      </w:r>
      <w:r>
        <w:rPr>
          <w:rFonts w:ascii="Times New Roman" w:hAnsi="Times New Roman" w:eastAsia="HY신명조"/>
          <w:sz w:val="16"/>
        </w:rPr>
        <w:t>, 2026, doi:10.1109/IRPS61424.2026.11499286.</w:t>
      </w:r>
    </w:p>
    <w:p>
      <w:pPr>
        <w:pStyle w:val="a3"/>
        <w:spacing w:line="240" w:lineRule="auto"/>
        <w:ind w:left="260" w:hanging="260"/>
      </w:pPr>
      <w:r>
        <w:rPr>
          <w:rFonts w:ascii="Times New Roman" w:hAnsi="Times New Roman" w:eastAsia="HY신명조"/>
          <w:sz w:val="16"/>
        </w:rPr>
        <w:t>[11]</w:t>
      </w:r>
      <w:r>
        <w:rPr>
          <w:rFonts w:ascii="Times New Roman" w:hAnsi="Times New Roman" w:eastAsia="HY신명조"/>
          <w:sz w:val="16"/>
        </w:rPr>
        <w:t xml:space="preserve"> </w:t>
      </w:r>
      <w:r>
        <w:rPr>
          <w:rFonts w:ascii="Times New Roman" w:hAnsi="Times New Roman" w:eastAsia="HY신명조"/>
          <w:sz w:val="16"/>
        </w:rPr>
        <w:t xml:space="preserve">O. O. Okudur et al., "Thermomechanical aspects of wafer-to-wafer copper-dielectric hybrid bonding for 3D integrated circuits," in </w:t>
      </w:r>
      <w:r>
        <w:rPr>
          <w:rFonts w:ascii="Times New Roman" w:hAnsi="Times New Roman" w:eastAsia="HY신명조"/>
          <w:i/>
          <w:sz w:val="16"/>
        </w:rPr>
        <w:t>Int. Conf. Wafer Bonding</w:t>
      </w:r>
      <w:r>
        <w:rPr>
          <w:rFonts w:ascii="Times New Roman" w:hAnsi="Times New Roman" w:eastAsia="HY신명조"/>
          <w:sz w:val="16"/>
        </w:rPr>
        <w:t>, Leuven, 2017.</w:t>
      </w:r>
    </w:p>
    <w:p>
      <w:pPr>
        <w:pStyle w:val="a3"/>
        <w:spacing w:line="240" w:lineRule="auto"/>
        <w:ind w:left="260" w:hanging="260"/>
      </w:pPr>
      <w:r>
        <w:rPr>
          <w:rFonts w:ascii="Times New Roman" w:hAnsi="Times New Roman" w:eastAsia="HY신명조"/>
          <w:sz w:val="16"/>
        </w:rPr>
        <w:t>[12]</w:t>
      </w:r>
      <w:r>
        <w:rPr>
          <w:rFonts w:ascii="Times New Roman" w:hAnsi="Times New Roman" w:eastAsia="HY신명조"/>
          <w:sz w:val="16"/>
        </w:rPr>
        <w:t xml:space="preserve"> </w:t>
      </w:r>
      <w:r>
        <w:rPr>
          <w:rFonts w:ascii="Times New Roman" w:hAnsi="Times New Roman" w:eastAsia="HY신명조"/>
          <w:sz w:val="16"/>
        </w:rPr>
        <w:t xml:space="preserve">S. Lhostis et al., "Contact resistivity of submicron hybrid bonding pads down to 400 nm," </w:t>
      </w:r>
      <w:r>
        <w:rPr>
          <w:rFonts w:ascii="Times New Roman" w:hAnsi="Times New Roman" w:eastAsia="HY신명조"/>
          <w:i/>
          <w:sz w:val="16"/>
        </w:rPr>
        <w:t>J. Electron. Mater.</w:t>
      </w:r>
      <w:r>
        <w:rPr>
          <w:rFonts w:ascii="Times New Roman" w:hAnsi="Times New Roman" w:eastAsia="HY신명조"/>
          <w:sz w:val="16"/>
        </w:rPr>
        <w:t>, vol. 53, pp. 4421–4431, 2024.</w:t>
      </w:r>
    </w:p>
    <w:p>
      <w:pPr>
        <w:pStyle w:val="a3"/>
        <w:spacing w:line="240" w:lineRule="auto"/>
        <w:ind w:left="260" w:hanging="260"/>
      </w:pPr>
      <w:r>
        <w:rPr>
          <w:rFonts w:ascii="Times New Roman" w:hAnsi="Times New Roman" w:eastAsia="HY신명조"/>
          <w:sz w:val="16"/>
        </w:rPr>
        <w:t>[13]</w:t>
      </w:r>
      <w:r>
        <w:rPr>
          <w:rFonts w:ascii="Times New Roman" w:hAnsi="Times New Roman" w:eastAsia="HY신명조"/>
          <w:sz w:val="16"/>
        </w:rPr>
        <w:t xml:space="preserve"> </w:t>
      </w:r>
      <w:r>
        <w:rPr>
          <w:rFonts w:ascii="Times New Roman" w:hAnsi="Times New Roman" w:eastAsia="HY신명조"/>
          <w:sz w:val="16"/>
        </w:rPr>
        <w:t xml:space="preserve">ASME V&amp;V 10-2019, </w:t>
      </w:r>
      <w:r>
        <w:rPr>
          <w:rFonts w:ascii="Times New Roman" w:hAnsi="Times New Roman" w:eastAsia="HY신명조"/>
          <w:i/>
          <w:sz w:val="16"/>
        </w:rPr>
        <w:t>Standard for Verification and Validation in Computational Solid Mechanics</w:t>
      </w:r>
      <w:r>
        <w:rPr>
          <w:rFonts w:ascii="Times New Roman" w:hAnsi="Times New Roman" w:eastAsia="HY신명조"/>
          <w:sz w:val="16"/>
        </w:rPr>
        <w:t>, ASME, 2019.</w:t>
      </w:r>
    </w:p>
    <w:p>
      <w:pPr>
        <w:pStyle w:val="a3"/>
        <w:spacing w:line="240" w:lineRule="auto"/>
        <w:ind w:left="260" w:hanging="260"/>
      </w:pPr>
      <w:r>
        <w:rPr>
          <w:rFonts w:ascii="Times New Roman" w:hAnsi="Times New Roman" w:eastAsia="HY신명조"/>
          <w:sz w:val="16"/>
        </w:rPr>
        <w:t>[14]</w:t>
      </w:r>
      <w:r>
        <w:rPr>
          <w:rFonts w:ascii="Times New Roman" w:hAnsi="Times New Roman" w:eastAsia="HY신명조"/>
          <w:sz w:val="16"/>
        </w:rPr>
        <w:t xml:space="preserve"> </w:t>
      </w:r>
      <w:r>
        <w:rPr>
          <w:rFonts w:ascii="Times New Roman" w:hAnsi="Times New Roman" w:eastAsia="HY신명조"/>
          <w:sz w:val="16"/>
        </w:rPr>
        <w:t xml:space="preserve">B. Ayoub, </w:t>
      </w:r>
      <w:r>
        <w:rPr>
          <w:rFonts w:ascii="Times New Roman" w:hAnsi="Times New Roman" w:eastAsia="HY신명조"/>
          <w:i/>
          <w:sz w:val="16"/>
        </w:rPr>
        <w:t>Electrical and morphological characterizations of the hybrid bonding level down to submicron pitches</w:t>
      </w:r>
      <w:r>
        <w:rPr>
          <w:rFonts w:ascii="Times New Roman" w:hAnsi="Times New Roman" w:eastAsia="HY신명조"/>
          <w:sz w:val="16"/>
        </w:rPr>
        <w:t>, PhD thesis, Univ. Bordeaux, 2023.</w:t>
      </w:r>
    </w:p>
    <w:p>
      <w:pPr>
        <w:pStyle w:val="a3"/>
        <w:spacing w:line="240" w:lineRule="auto"/>
        <w:ind w:left="260" w:hanging="260"/>
      </w:pPr>
      <w:r>
        <w:rPr>
          <w:rFonts w:ascii="Times New Roman" w:hAnsi="Times New Roman" w:eastAsia="HY신명조"/>
          <w:sz w:val="16"/>
        </w:rPr>
        <w:t>[15]</w:t>
      </w:r>
      <w:r>
        <w:rPr>
          <w:rFonts w:ascii="Times New Roman" w:hAnsi="Times New Roman" w:eastAsia="HY신명조"/>
          <w:sz w:val="16"/>
        </w:rPr>
        <w:t xml:space="preserve"> </w:t>
      </w:r>
      <w:r>
        <w:rPr>
          <w:rFonts w:ascii="Times New Roman" w:hAnsi="Times New Roman" w:eastAsia="HY신명조"/>
          <w:sz w:val="16"/>
        </w:rPr>
        <w:t>C. Okoro et al., [확인 필요: full reference for the Cu σ_y(T) used in the connection-stage plasticity].</w:t>
      </w:r>
    </w:p>
    <w:sectPr w:rsidR="00AC07B2" w:rsidSect="0082623A">
      <w:endnotePr>
        <w:numFmt w:val="decimal"/>
      </w:endnotePr>
      <w:type w:val="continuous"/>
      <w:pgSz w:w="11906" w:h="16838"/>
      <w:pgMar w:top="1701" w:right="1134" w:bottom="1701" w:left="1134" w:header="1134" w:footer="1134" w:gutter="0"/>
      <w:cols w:num="2" w:space="56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FBC801" w14:textId="77777777" w:rsidR="00CB3317" w:rsidRDefault="00CB3317" w:rsidP="0082623A">
      <w:pPr>
        <w:spacing w:after="0" w:line="240" w:lineRule="auto"/>
      </w:pPr>
      <w:r>
        <w:separator/>
      </w:r>
    </w:p>
  </w:endnote>
  <w:endnote w:type="continuationSeparator" w:id="0">
    <w:p w14:paraId="6877FBE6" w14:textId="77777777" w:rsidR="00CB3317" w:rsidRDefault="00CB3317" w:rsidP="00826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한양중고딕">
    <w:panose1 w:val="00000000000000000000"/>
    <w:charset w:val="81"/>
    <w:family w:val="roman"/>
    <w:notTrueType/>
    <w:pitch w:val="default"/>
  </w:font>
  <w:font w:name="한양궁서">
    <w:panose1 w:val="00000000000000000000"/>
    <w:charset w:val="81"/>
    <w:family w:val="roman"/>
    <w:notTrueType/>
    <w:pitch w:val="default"/>
  </w:font>
  <w:font w:name="휴먼옛체">
    <w:panose1 w:val="02030504000101010101"/>
    <w:charset w:val="81"/>
    <w:family w:val="roman"/>
    <w:pitch w:val="variable"/>
    <w:sig w:usb0="800002A7" w:usb1="29D77CFB" w:usb2="00000010" w:usb3="00000000" w:csb0="00080000" w:csb1="00000000"/>
  </w:font>
  <w:font w:name="한양견고딕">
    <w:panose1 w:val="00000000000000000000"/>
    <w:charset w:val="81"/>
    <w:family w:val="roman"/>
    <w:notTrueType/>
    <w:pitch w:val="default"/>
  </w:font>
  <w:font w:name="한양견명조">
    <w:panose1 w:val="00000000000000000000"/>
    <w:charset w:val="81"/>
    <w:family w:val="roman"/>
    <w:notTrueType/>
    <w:pitch w:val="default"/>
  </w:font>
  <w:font w:name="바탕">
    <w:altName w:val="Batang"/>
    <w:panose1 w:val="02030600000101010101"/>
    <w:charset w:val="81"/>
    <w:family w:val="roma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한컴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D4BE8C" w14:textId="77777777" w:rsidR="00CB3317" w:rsidRDefault="00CB3317" w:rsidP="0082623A">
      <w:pPr>
        <w:spacing w:after="0" w:line="240" w:lineRule="auto"/>
      </w:pPr>
      <w:r>
        <w:separator/>
      </w:r>
    </w:p>
  </w:footnote>
  <w:footnote w:type="continuationSeparator" w:id="0">
    <w:p w14:paraId="349E2037" w14:textId="77777777" w:rsidR="00CB3317" w:rsidRDefault="00CB3317" w:rsidP="0082623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C07B2"/>
    <w:rsid w:val="00070BC6"/>
    <w:rsid w:val="001428A5"/>
    <w:rsid w:val="00204A04"/>
    <w:rsid w:val="00272714"/>
    <w:rsid w:val="005A120E"/>
    <w:rsid w:val="005E19DD"/>
    <w:rsid w:val="007019A0"/>
    <w:rsid w:val="0082623A"/>
    <w:rsid w:val="008D3361"/>
    <w:rsid w:val="00A30AC4"/>
    <w:rsid w:val="00AC07B2"/>
    <w:rsid w:val="00CB3317"/>
    <w:rsid w:val="00E4171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441EE3"/>
  <w15:docId w15:val="{FD36455D-50F9-479F-A9E8-27B8FAD11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A120E"/>
    <w:pPr>
      <w:widowControl w:val="0"/>
      <w:wordWrap w:val="0"/>
      <w:autoSpaceDE w:val="0"/>
      <w:autoSpaceDN w:val="0"/>
    </w:pPr>
  </w:style>
  <w:style w:type="paragraph" w:styleId="1">
    <w:name w:val="heading 1"/>
    <w:uiPriority w:val="9"/>
    <w:qFormat/>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60" w:lineRule="auto"/>
      <w:textAlignment w:val="baseline"/>
      <w:outlineLvl w:val="0"/>
    </w:pPr>
    <w:rPr>
      <w:rFonts w:ascii="바탕체" w:eastAsia="바탕체"/>
      <w:color w:val="000000"/>
    </w:rPr>
  </w:style>
  <w:style w:type="paragraph" w:styleId="2">
    <w:name w:val="heading 2"/>
    <w:uiPriority w:val="9"/>
    <w:semiHidden/>
    <w:unhideWhenUsed/>
    <w:qFormat/>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60" w:lineRule="auto"/>
      <w:jc w:val="center"/>
      <w:textAlignment w:val="baseline"/>
      <w:outlineLvl w:val="1"/>
    </w:pPr>
    <w:rPr>
      <w:rFonts w:ascii="바탕체" w:eastAsia="바탕체"/>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rPr>
  </w:style>
  <w:style w:type="paragraph" w:customStyle="1" w:styleId="10">
    <w:name w:val="본문(신명조10)"/>
    <w:uiPriority w:val="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rPr>
  </w:style>
  <w:style w:type="paragraph" w:customStyle="1" w:styleId="100">
    <w:name w:val="본문(중고딕10)"/>
    <w:uiPriority w:val="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중고딕" w:eastAsia="한양중고딕"/>
      <w:color w:val="000000"/>
    </w:rPr>
  </w:style>
  <w:style w:type="paragraph" w:customStyle="1" w:styleId="15">
    <w:name w:val="작은제목(중고딕15)"/>
    <w:uiPriority w:val="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중고딕" w:eastAsia="한양중고딕"/>
      <w:color w:val="000000"/>
      <w:sz w:val="30"/>
    </w:rPr>
  </w:style>
  <w:style w:type="paragraph" w:customStyle="1" w:styleId="20">
    <w:name w:val="중간제목(옛체20)"/>
    <w:uiPriority w:val="4"/>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한양궁서" w:eastAsia="휴먼옛체"/>
      <w:color w:val="000000"/>
      <w:sz w:val="40"/>
    </w:rPr>
  </w:style>
  <w:style w:type="paragraph" w:customStyle="1" w:styleId="200">
    <w:name w:val="큰제목(견고딕20)"/>
    <w:uiPriority w:val="5"/>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한양견고딕" w:eastAsia="한양견고딕"/>
      <w:color w:val="000000"/>
      <w:sz w:val="40"/>
    </w:rPr>
  </w:style>
  <w:style w:type="paragraph" w:customStyle="1" w:styleId="30">
    <w:name w:val="큰제목(견고딕30)"/>
    <w:uiPriority w:val="6"/>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한양견고딕" w:eastAsia="한양견고딕"/>
      <w:color w:val="000000"/>
      <w:sz w:val="60"/>
    </w:rPr>
  </w:style>
  <w:style w:type="paragraph" w:customStyle="1" w:styleId="9">
    <w:name w:val="머리말(신명조9)"/>
    <w:uiPriority w:val="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sz w:val="18"/>
    </w:rPr>
  </w:style>
  <w:style w:type="paragraph" w:customStyle="1" w:styleId="90">
    <w:name w:val="머리말(중고딕9)"/>
    <w:uiPriority w:val="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중고딕" w:eastAsia="한양중고딕"/>
      <w:color w:val="000000"/>
      <w:sz w:val="18"/>
    </w:rPr>
  </w:style>
  <w:style w:type="paragraph" w:customStyle="1" w:styleId="91">
    <w:name w:val="각주내용(신명조9)"/>
    <w:uiPriority w:val="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36" w:lineRule="auto"/>
      <w:ind w:left="600" w:right="200" w:hanging="400"/>
      <w:textAlignment w:val="baseline"/>
    </w:pPr>
    <w:rPr>
      <w:rFonts w:ascii="한양신명조" w:eastAsia="한양신명조"/>
      <w:color w:val="000000"/>
      <w:sz w:val="18"/>
    </w:rPr>
  </w:style>
  <w:style w:type="paragraph" w:customStyle="1" w:styleId="a4">
    <w:name w:val="수식"/>
    <w:uiPriority w:val="1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rPr>
  </w:style>
  <w:style w:type="paragraph" w:customStyle="1" w:styleId="a5">
    <w:name w:val="절"/>
    <w:uiPriority w:val="1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720" w:lineRule="auto"/>
      <w:ind w:firstLine="200"/>
      <w:textAlignment w:val="baseline"/>
    </w:pPr>
    <w:rPr>
      <w:rFonts w:ascii="한양견명조" w:eastAsia="한양견명조"/>
      <w:color w:val="000000"/>
      <w:spacing w:val="12"/>
      <w:sz w:val="26"/>
    </w:rPr>
  </w:style>
  <w:style w:type="paragraph" w:customStyle="1" w:styleId="11">
    <w:name w:val="개요 1"/>
    <w:uiPriority w:val="1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149" w:hanging="149"/>
      <w:textAlignment w:val="baseline"/>
    </w:pPr>
    <w:rPr>
      <w:rFonts w:ascii="한양신명조" w:eastAsia="한양신명조"/>
      <w:color w:val="000000"/>
    </w:rPr>
  </w:style>
  <w:style w:type="paragraph" w:customStyle="1" w:styleId="a6">
    <w:name w:val="쪽번호"/>
    <w:uiPriority w:val="15"/>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Times New Roman" w:eastAsia="한양신명조"/>
      <w:color w:val="000000"/>
      <w:sz w:val="22"/>
    </w:rPr>
  </w:style>
  <w:style w:type="paragraph" w:styleId="a7">
    <w:name w:val="header"/>
    <w:basedOn w:val="a"/>
    <w:link w:val="Char"/>
    <w:uiPriority w:val="99"/>
    <w:unhideWhenUsed/>
    <w:rsid w:val="0082623A"/>
    <w:pPr>
      <w:tabs>
        <w:tab w:val="center" w:pos="4513"/>
        <w:tab w:val="right" w:pos="9026"/>
      </w:tabs>
      <w:snapToGrid w:val="0"/>
    </w:pPr>
  </w:style>
  <w:style w:type="character" w:customStyle="1" w:styleId="Char">
    <w:name w:val="머리글 Char"/>
    <w:basedOn w:val="a0"/>
    <w:link w:val="a7"/>
    <w:uiPriority w:val="99"/>
    <w:rsid w:val="0082623A"/>
  </w:style>
  <w:style w:type="paragraph" w:styleId="a8">
    <w:name w:val="footer"/>
    <w:basedOn w:val="a"/>
    <w:link w:val="Char0"/>
    <w:uiPriority w:val="99"/>
    <w:unhideWhenUsed/>
    <w:rsid w:val="0082623A"/>
    <w:pPr>
      <w:tabs>
        <w:tab w:val="center" w:pos="4513"/>
        <w:tab w:val="right" w:pos="9026"/>
      </w:tabs>
      <w:snapToGrid w:val="0"/>
    </w:pPr>
  </w:style>
  <w:style w:type="character" w:customStyle="1" w:styleId="Char0">
    <w:name w:val="바닥글 Char"/>
    <w:basedOn w:val="a0"/>
    <w:link w:val="a8"/>
    <w:uiPriority w:val="99"/>
    <w:rsid w:val="008262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373</Words>
  <Characters>2132</Characters>
  <Application>Microsoft Office Word</Application>
  <DocSecurity>0</DocSecurity>
  <Lines>17</Lines>
  <Paragraphs>4</Paragraphs>
  <ScaleCrop>false</ScaleCrop>
  <HeadingPairs>
    <vt:vector size="2" baseType="variant">
      <vt:variant>
        <vt:lpstr>제목</vt:lpstr>
      </vt:variant>
      <vt:variant>
        <vt:i4>1</vt:i4>
      </vt:variant>
    </vt:vector>
  </HeadingPairs>
  <TitlesOfParts>
    <vt:vector size="1" baseType="lpstr">
      <vt:lpstr>추계학술대회 투고논문 작성예시</vt:lpstr>
    </vt:vector>
  </TitlesOfParts>
  <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5</cp:revision>
  <dcterms:created xsi:type="dcterms:W3CDTF">2019-05-10T02:21:00Z</dcterms:created>
  <dcterms:modified xsi:type="dcterms:W3CDTF">2023-09-04T07:35:00Z</dcterms:modified>
  <cp:version>0501.0001.01</cp:version>
  <dc:description/>
</cp:coreProperties>
</file>