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r>
              <w:t>학부생 논문경진대회 서면 심사용 (저자·소속 비공개)</w:t>
            </w:r>
          </w:p>
          <w:p w:rsidR="00A77F1A" w:rsidRDefault="00CF58E3">
            <w:pPr>
              <w:pStyle w:val="a9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r>
      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t>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</w:t>
            </w:r>
            <w:r>
              <w:t>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</w:t>
            </w:r>
          </w:p>
          <w:p w:rsidR="00A77F1A" w:rsidRDefault="00CF58E3">
            <w:pPr>
              <w:pStyle w:val="a3"/>
            </w:pPr>
            <w:r>
              <w:rPr>
                <w:rStyle w:val="Keywords"/>
                <w:spacing w:val="0"/>
              </w:rPr>
              <w:t xml:space="preserve">      </w:t>
            </w:r>
            <w:proofErr w:type="gramStart"/>
            <w:r>
              <w:rPr>
                <w:rStyle w:val="Keywords"/>
                <w:spacing w:val="0"/>
              </w:rPr>
              <w:t>Keywords</w:t>
            </w:r>
            <w:r>
              <w:t xml:space="preserve"> :</w:t>
            </w:r>
            <w:proofErr w:type="gramEnd"/>
            <w:r>
              <w:t xml:space="preserve"> </w:t>
            </w:r>
            <w:r>
              <w:rPr>
                <w:rStyle w:val="Keywords0"/>
                <w:spacing w:val="0"/>
              </w:rPr>
              <w:t>5</w:t>
            </w:r>
            <w:r>
              <w:rPr>
                <w:rStyle w:val="Keywords0"/>
                <w:spacing w:val="0"/>
              </w:rPr>
              <w:t>개이하의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키워드를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입력하시오</w:t>
            </w:r>
            <w:r>
              <w:rPr>
                <w:rStyle w:val="Keywords0"/>
                <w:spacing w:val="0"/>
              </w:rPr>
              <w:t>. (</w:t>
            </w:r>
            <w:r>
              <w:rPr>
                <w:rStyle w:val="Keywords0"/>
                <w:spacing w:val="0"/>
              </w:rPr>
              <w:t>스타일</w:t>
            </w:r>
            <w:proofErr w:type="gramStart"/>
            <w:r>
              <w:rPr>
                <w:rStyle w:val="Keywords0"/>
                <w:spacing w:val="0"/>
              </w:rPr>
              <w:t>:Keywords</w:t>
            </w:r>
            <w:r>
              <w:rPr>
                <w:rStyle w:val="Keywords0"/>
                <w:spacing w:val="0"/>
              </w:rPr>
              <w:t>내용</w:t>
            </w:r>
            <w:proofErr w:type="gramEnd"/>
            <w:r>
              <w:rPr>
                <w:rStyle w:val="Keywords0"/>
                <w:spacing w:val="0"/>
              </w:rPr>
              <w:t>)</w:t>
            </w:r>
            <w:r>
              <w:t xml:space="preserve"> 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</w:p>
        </w:tc>
      </w:tr>
    </w:tbl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I. 서론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접촉 기구가 열탄성에서 표면확산으로 바뀌는 크기(≈0.7 µm)를 실측·모델로 정량화했다. ② 방위 의존 확산 항이 bulge-out 분포의 폭과 &lt;111&gt; 꼬리를 재현함을 보였다. ③ 300 nm 공정창, CMP recess 허용 사양, 방위에 의한 수율 하한과 인자 순위를 불확실도와 함께 제시했다.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II. 모델과 검증 절차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2.3 표면확산 항. DM2024[7]의 선형화를 따라 패드당</w:t>
      </w:r>
    </w:p>
    <w:p>
      <w:pPr>
        <w:pStyle w:val="a4"/>
        <w:jc w:val="center"/>
      </w:pPr>
      <w:r>
        <w:rPr>
          <w:rFonts w:ascii="바탕" w:hAnsi="바탕" w:eastAsia="바탕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III. 결과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이 결과를 recess와 함께 놓으면 기구 전환이 드러난다(Fig. 2): 위·아래 탄성 돌출 합이 recess 합 5 nm[10]를 넘는 크기는 실측 기준 ≈0.7 µm, 모델 기준 0.66–1.06 µm이고, 그 아래에서는 어떤 어닐 온도에서도 탄성만으로는 접촉이 안 된다(300 nm, 400 °C: 패드당 ≈1 nm).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Case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Model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Measured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Rule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Result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9 / 3 µm, 200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6.87 / 4.26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6.4 / 4.1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1.0–5.0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1.05–5.4 ± 0.2–0.5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4.64 / 6.32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6.05 / 7.85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1 µm, 200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1.79–1.94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overlap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0.81/1.88/2.96/4.04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0.7/1.6/3.65/5.0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0.5 nm or 15 %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0.41/0.95/1.50/2.04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0.25/0.60/1.0/1.4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 nm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3.66 / 4.84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/ 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must fail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fails → sidewall bonded</w:t>
            </w:r>
          </w:p>
        </w:tc>
      </w:tr>
    </w:tbl>
    <w:p/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[Fig2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3.2 표면확산 항 테스트.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재현했다 — 방위가 없는 모델의 IQR은 0이다.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[Fig3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3.3 Ayoub 300 nm 변형률.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3.4 300 nm 공정창과 레시피 변수.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 남는다(Fig. 6b); 미세결정 Cu로 꼬리를 없애면 이 하한이 사라진다[3].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[Fig4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IV. 한계와 결론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Part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Status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validated (pre-registered)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0.54 µm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fixed form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(2/17)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Orientation amplitude f(ω)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Ayoub ε′zz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Connection stage contact FEM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300 nm window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prediction with uncertainty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80389d5 / 9dbd0c0</w:t>
            </w:r>
          </w:p>
        </w:tc>
      </w:tr>
    </w:tbl>
    <w:p/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REFERENCES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[1] S. Van Huylenbroeck et al., "Wafer-to-Wafer Hybrid Bonding Technology with 200nm Interconnect Pitch," in Proc. IEEE ECTC, 2026.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[2] J. De Messemaeker et al., "New Cu 'bulge-out' mechanism supporting sub-micron scaling of hybrid wafer-to-wafer bonding," in Proc. IEEE ECTC, pp. 1042–1049, 2023.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[4] B. Ayoub et al., "In-situ characterization of thermomechanical behavior of copper nano-interconnect for 3D integration," Microelectron. Eng., vol. 261, 111809,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[5] H.-E. Lin et al., "Revealing challenges of downscaling effects on Cu thermal expansion in advanced hybrid bonding using in-situ AFM," Appl. Surf. Sci., vol. 689, 162539, 2025.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[6] P.-L. Chen et al., in Proc. IEEE ECTC, 2025, doi:10.1109/ECTC51687.2025.00329.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[7] J. De Messemaeker et al., "Simulation of bulge-out mechanism enabling sub-0.5 µm scaling of hybrid wafer-to-wafer bonding," in Proc. IEEE ECTC,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[8] Y. W. Tsau et al., Microelectron. Reliab.,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[9] D. B. Butrymowicz, J. R. Manning, and M. E. Read, "Diffusion in copper and copper alloys, Part I," J. Phys. Chem. Ref. Data, vol. 2, pp. 643–655, 1973.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[10] S. Van Huylenbroeck et al., in Proc. IEEE IRPS, 2026, doi:10.1109/IRPS61424.2026.11499286.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[11] O. O. Okudur et al., "Thermomechanical aspects of wafer-to-wafer copper-dielectric hybrid bonding for 3D integrated circuits," Int. Conf. Wafer Bonding, Leuven, 2017.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[12] S. Lhostis et al., "Contact resistivity of submicron hybrid bonding pads down to 400 nm," J. Electron. Mater., vol. 53, pp. 4421–4431,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[13] ASME V&amp;V 10-2019, Standard for Verification and Validation in Computational Solid Mechanics, ASME, 2019.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[14] B. Ayoub, PhD thesis, Univ. Bordeaux, 2023, HAL tel-04437757.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[15] C. Okoro et al. (Cu σ_y(T) used for the isotropic plasticity of the connection stage) — 보고서 문헌 목록 참조.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>Hewlett-Packard Company</Company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김현경 외</dc:title>
  <dc:subject>논문 정리</dc:subject>
  <dc:creator>대한전자공학회 차장 한창호</dc:creator>
  <cp:lastModifiedBy>Hewlett-Packard Company</cp:lastModifiedBy>
  <cp:revision>2</cp:revision>
  <dcterms:created xsi:type="dcterms:W3CDTF">2002-02-07T08:08:00Z</dcterms:created>
  <dcterms:modified xsi:type="dcterms:W3CDTF">2021-07-30T01:40:00Z</dcterms:modified>
</cp:coreProperties>
</file>