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5"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9645"/>
      </w:tblGrid>
      <w:tr w:rsidR="00A77F1A">
        <w:trPr>
          <w:trHeight w:val="9717"/>
        </w:trPr>
        <w:tc>
          <w:tcPr>
            <w:tcW w:w="9645" w:type="dxa"/>
            <w:tcBorders>
              <w:top w:val="none" w:sz="2" w:space="0" w:color="000000"/>
              <w:left w:val="none" w:sz="2" w:space="0" w:color="000000"/>
              <w:bottom w:val="none" w:sz="2" w:space="0" w:color="000000"/>
              <w:right w:val="none" w:sz="2" w:space="0" w:color="000000"/>
            </w:tcBorders>
          </w:tcPr>
          <w:p w:rsidR="00A77F1A" w:rsidRDefault="00CF58E3">
            <w:pPr>
              <w:pStyle w:val="af3"/>
            </w:pPr>
            <w:bookmarkStart w:id="0" w:name="_top"/>
            <w:bookmarkEnd w:id="0"/>
            <w:r>
              <w:rPr>
                <w:rFonts w:ascii="Times New Roman" w:hAnsi="Times New Roman" w:eastAsia="한양신명조"/>
              </w:rPr>
              <w:t>학부생 논문경진대회 서면 심사용</w:t>
            </w:r>
          </w:p>
          <w:p w:rsidR="00A77F1A" w:rsidRDefault="00CF58E3">
            <w:pPr>
              <w:pStyle w:val="a9"/>
            </w:pPr>
            <w:r>
              <w:rPr>
                <w:rFonts w:ascii="Times New Roman" w:hAnsi="Times New Roman" w:eastAsia="한양신명조"/>
              </w:rPr>
              <w:t>300 nm Cu 하이브리드 본딩의 접촉 결정 요인과 공정 조건: 열탄성 돌출과 표면확산을 결합한 모델</w:t>
            </w:r>
          </w:p>
          <w:p w:rsidR="00A77F1A" w:rsidRDefault="00CF58E3">
            <w:pPr>
              <w:pStyle w:val="aa"/>
            </w:pPr>
            <w:r>
              <w:rPr>
                <w:rFonts w:ascii="Times New Roman" w:hAnsi="Times New Roman" w:eastAsia="한양신명조"/>
              </w:rPr>
              <w:t>(Contact-Determining Factors and Process Conditions in 300 nm Cu Hybrid Bonding: A Model Coupling Thermo-Elastic Protrusion and Surface Diffusion)</w:t>
            </w:r>
          </w:p>
          <w:p w:rsidR="00A77F1A" w:rsidRDefault="00CF58E3">
            <w:pPr>
              <w:pStyle w:val="ad"/>
            </w:pPr>
            <w:proofErr w:type="gramStart"/>
            <w:r>
              <w:t>요</w:t>
            </w:r>
            <w:r>
              <w:t xml:space="preserve">  </w:t>
            </w:r>
            <w:r>
              <w:t>약</w:t>
            </w:r>
            <w:proofErr w:type="gramEnd"/>
          </w:p>
          <w:p w:rsidR="00A77F1A" w:rsidRDefault="00CF58E3">
            <w:pPr>
              <w:pStyle w:val="ae"/>
            </w:pP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Times New Roman" w:hAnsi="Times New Roman" w:eastAsia="한양신명조"/>
              </w:rPr>
              <w:t>Cu 하이브리드 본딩 패드가 1 µm 아래로 작아지면 열탄성 돌출만으로는 CMP recess를 닫지 못한다. 문헌 물성 열탄성 FEM과 표면확산 해석식을 결합하고, 학습·테스트 데이터 분할과 합격 기준을 계산 전에 고정해 세 연구그룹의 실측으로 시험하였다. 측벽이 접합된 조건에서 탄성 접촉 한계는 400 °C, recess 합 5 nm에서 약 0.7 µm이다. 300 nm 패드는 시험한 불확실성 집합과 패드별 산포에서 청정 표면 약 250 °C·2 h, 300 °C·30 min 이상이면 접촉 확률 0.99 이상을 유지하는 것으로 예측된다.</w:t>
            </w:r>
          </w:p>
          <w:p w:rsidR="00A77F1A" w:rsidRDefault="00CF58E3">
            <w:pPr>
              <w:pStyle w:val="Abstract"/>
            </w:pPr>
            <w:r>
              <w:t>Abstract</w:t>
            </w:r>
          </w:p>
          <w:p w:rsidR="00A77F1A" w:rsidRDefault="00CF58E3">
            <w:pPr>
              <w:pStyle w:val="ae"/>
            </w:pPr>
            <w:r>
              <w:rPr>
                <w:rFonts w:ascii="Times New Roman" w:hAnsi="Times New Roman" w:eastAsia="한양신명조"/>
              </w:rPr>
              <w:t>Below 1 µm, thermo-elastic protrusion of Cu hybrid-bonding pads no longer closes the CMP recess. We couple a thermo-elastic FEM with an analytic surface-diffusion term, fixing the train/test split and acceptance criteria before computation. For a sidewall bonded to the liner, the elastic contact limit is about 0.7 µm at 400 °C for a 5 nm recess sum. Over the tested uncertainty set, 300 nm pads keep a contact probability of at least 0.99 on a clean surface at about 250 °C for 2 h and 300 °C for 30 min or longer; the worst case depends on the unmeasured bulge-out of exactly &lt;111&gt;-oriented pads.</w:t>
            </w:r>
          </w:p>
          <w:p w:rsidR="00A77F1A" w:rsidRDefault="00CF58E3">
            <w:pPr>
              <w:pStyle w:val="a3"/>
            </w:pPr>
            <w:proofErr w:type="gramStart"/>
            <w:proofErr w:type="gramEnd"/>
            <w:proofErr w:type="gramStart"/>
            <w:proofErr w:type="gramEnd"/>
            <w:r>
              <w:rPr>
                <w:rFonts w:ascii="Times New Roman" w:hAnsi="Times New Roman" w:eastAsia="한양신명조"/>
              </w:rPr>
              <w:t xml:space="preserve">      Keywords : Hybrid bonding, Cu bulge-out, surface diffusion, thermo-elastic FEM, process window</w:t>
            </w:r>
          </w:p>
        </w:tc>
      </w:tr>
    </w:tbl>
    <w:p>
      <w:pPr>
        <w:spacing w:before="0" w:after="240" w:line="240" w:lineRule="auto"/>
        <w:sectPr w:rsidR="00A77F1A">
          <w:headerReference w:type="default" r:id="rId10"/>
          <w:footerReference w:type="default" r:id="rId11"/>
          <w:footnotePr>
            <w:numFmt w:val="lowerRoman"/>
            <w:numRestart w:val="eachPage"/>
          </w:footnotePr>
          <w:endnotePr>
            <w:numFmt w:val="decimal"/>
          </w:endnotePr>
          <w:pgSz w:w="11906" w:h="16838"/>
          <w:pgMar w:top="1984" w:right="1135" w:bottom="1138" w:left="1134" w:header="1134" w:footer="571" w:gutter="0"/>
          <w:cols w:space="425"/>
        </w:sectPr>
      </w:pPr>
    </w:p>
    <w:p>
      <w:pPr>
        <w:pStyle w:val="a5"/>
        <w:keepNext/>
      </w:pPr>
      <w:r>
        <w:rPr>
          <w:rFonts w:ascii="Times New Roman" w:hAnsi="Times New Roman" w:eastAsia="한양신명조"/>
        </w:rPr>
        <w:t>Ⅰ. 서  론</w:t>
      </w:r>
    </w:p>
    <w:p>
      <w:pPr>
        <w:pStyle w:val="a4"/>
        <w:jc w:val="both"/>
      </w:pPr>
      <w:r>
        <w:rPr>
          <w:rFonts w:ascii="Times New Roman" w:hAnsi="Times New Roman" w:eastAsia="한양신명조"/>
        </w:rPr>
        <w:t>웨이퍼 간 Cu/SiCN 하이브리드 본딩은 200 nm 피치까지 전기적 수율이 보고되었다</w:t>
      </w:r>
      <w:r>
        <w:rPr>
          <w:rFonts w:ascii="Times New Roman" w:hAnsi="Times New Roman" w:eastAsia="한양신명조"/>
          <w:vertAlign w:val="superscript"/>
        </w:rPr>
        <w:t>[1]</w:t>
      </w:r>
      <w:r>
        <w:rPr>
          <w:rFonts w:ascii="Times New Roman" w:hAnsi="Times New Roman" w:eastAsia="한양신명조"/>
        </w:rPr>
        <w:t>. 패드가 작아지면 어닐 중 Cu의 열탄성 돌출은 1 nm 수준으로 줄어 CMP recess를 닫지 못하고, 상·하 패드의 접촉은 표면확산에 의한 bulge-out이 만든다</w:t>
      </w:r>
      <w:r>
        <w:rPr>
          <w:rFonts w:ascii="Times New Roman" w:hAnsi="Times New Roman" w:eastAsia="한양신명조"/>
          <w:vertAlign w:val="superscript"/>
        </w:rPr>
        <w:t>[2,3]</w:t>
      </w:r>
      <w:r>
        <w:rPr>
          <w:rFonts w:ascii="Times New Roman" w:hAnsi="Times New Roman" w:eastAsia="한양신명조"/>
        </w:rPr>
        <w:t>. 선행연구는 300 nm 패드의 Laue 변형률</w:t>
      </w:r>
      <w:r>
        <w:rPr>
          <w:rFonts w:ascii="Times New Roman" w:hAnsi="Times New Roman" w:eastAsia="한양신명조"/>
          <w:vertAlign w:val="superscript"/>
        </w:rPr>
        <w:t>[4]</w:t>
      </w:r>
      <w:r>
        <w:rPr>
          <w:rFonts w:ascii="Times New Roman" w:hAnsi="Times New Roman" w:eastAsia="한양신명조"/>
        </w:rPr>
        <w:t>, 1–9 µm 패드의 in-situ 돌출</w:t>
      </w:r>
      <w:r>
        <w:rPr>
          <w:rFonts w:ascii="Times New Roman" w:hAnsi="Times New Roman" w:eastAsia="한양신명조"/>
          <w:vertAlign w:val="superscript"/>
        </w:rPr>
        <w:t>[5,6]</w:t>
      </w:r>
      <w:r>
        <w:rPr>
          <w:rFonts w:ascii="Times New Roman" w:hAnsi="Times New Roman" w:eastAsia="한양신명조"/>
        </w:rPr>
        <w:t>, 수천 개 패드의 bulge-out 분포와 결정방위</w:t>
      </w:r>
      <w:r>
        <w:rPr>
          <w:rFonts w:ascii="Times New Roman" w:hAnsi="Times New Roman" w:eastAsia="한양신명조"/>
          <w:vertAlign w:val="superscript"/>
        </w:rPr>
        <w:t>[2,3,7]</w:t>
      </w:r>
      <w:r>
        <w:rPr>
          <w:rFonts w:ascii="Times New Roman" w:hAnsi="Times New Roman" w:eastAsia="한양신명조"/>
        </w:rPr>
        <w:t>, 열팽창과 표면확산을 결합한 어닐 모델</w:t>
      </w:r>
      <w:r>
        <w:rPr>
          <w:rFonts w:ascii="Times New Roman" w:hAnsi="Times New Roman" w:eastAsia="한양신명조"/>
          <w:vertAlign w:val="superscript"/>
        </w:rPr>
        <w:t>[8]</w:t>
      </w:r>
      <w:r>
        <w:rPr>
          <w:rFonts w:ascii="Times New Roman" w:hAnsi="Times New Roman" w:eastAsia="한양신명조"/>
        </w:rPr>
        <w:t>로 나뉘어 있다. 그러나 이 관측들로 한 모델을 학습·테스트하고, 모델 가정이 바뀔 때 접촉 판정이 유지되는지를 패드별 산포와 함께 정량화한 연구는 없다.</w:t>
      </w:r>
    </w:p>
    <w:p>
      <w:pPr>
        <w:pStyle w:val="a4"/>
        <w:jc w:val="both"/>
      </w:pPr>
      <w:r>
        <w:rPr>
          <w:rFonts w:ascii="Times New Roman" w:hAnsi="Times New Roman" w:eastAsia="한양신명조"/>
        </w:rPr>
        <w:t>본 연구는 Cu 측벽이 라이너에 접합된 공정에서 300 nm 패드의 접촉을 결정하는 요인을 구분하고, 어닐 온도·시간, 표면 상태, 라이너 같은 공정 변수와 recess 산포, 결정방위 같은 패드별 무작위 요인이 접촉 가능한 어닐 조건을 얼마나 움직이는지 제시한다. 이를 위해 문헌 물성 열탄성 FEM과 표면확산 해석식을 결합한 모델을 세 연구그룹의 실측으로 학습·테스트하고, 그 모델로 접촉 가능한 어닐 조건과 요인별 영향을 계산했다.</w:t>
      </w:r>
    </w:p>
    <w:p>
      <w:pPr>
        <w:pStyle w:val="a5"/>
        <w:keepNext/>
      </w:pPr>
      <w:r>
        <w:rPr>
          <w:rFonts w:ascii="Times New Roman" w:hAnsi="Times New Roman" w:eastAsia="한양신명조"/>
        </w:rPr>
        <w:t>Ⅱ. 연구 방법</w:t>
      </w:r>
    </w:p>
    <w:p>
      <w:pPr>
        <w:pStyle w:val="a6"/>
        <w:keepNext/>
      </w:pPr>
      <w:r>
        <w:rPr>
          <w:rFonts w:ascii="Times New Roman" w:hAnsi="Times New Roman" w:eastAsia="한양신명조"/>
        </w:rPr>
        <w:t>1. 접촉 조건과 모델</w:t>
      </w:r>
    </w:p>
    <w:p>
      <w:pPr>
        <w:pStyle w:val="a4"/>
        <w:jc w:val="both"/>
      </w:pPr>
      <w:r>
        <w:rPr>
          <w:rFonts w:ascii="Times New Roman" w:hAnsi="Times New Roman" w:eastAsia="한양신명조"/>
        </w:rPr>
        <w:t>상·하 패드의 접촉 여유 m을 식 (1)로 정의한다(Fig. 1). r은 CMP recess, u는 열탄성 돌출, h</w:t>
      </w:r>
      <w:r>
        <w:rPr>
          <w:rFonts w:ascii="Times New Roman" w:hAnsi="Times New Roman" w:eastAsia="한양신명조"/>
          <w:vertAlign w:val="subscript"/>
        </w:rPr>
        <w:t>d</w:t>
      </w:r>
      <w:r>
        <w:rPr>
          <w:rFonts w:ascii="Times New Roman" w:hAnsi="Times New Roman" w:eastAsia="한양신명조"/>
        </w:rPr>
        <w:t>는 표면확산 bulge-out이며, 위·아래 탄성 돌출의 합이 recess 합과 같아지는 패드 폭을 탄성 접촉 한계라 한다.</w:t>
      </w:r>
    </w:p>
    <w:p>
      <w:pPr>
        <w:pStyle w:val="af6"/>
        <w:tabs>
          <w:tab w:pos="2254" w:val="center"/>
          <w:tab w:pos="4479" w:val="right"/>
        </w:tabs>
        <w:spacing w:line="240" w:lineRule="auto" w:before="160" w:after="160"/>
        <w:ind w:firstLine="0" w:left="0"/>
        <w:jc w:val="left"/>
      </w:pPr>
      <w:r>
        <w:rPr>
          <w:rFonts w:ascii="Times New Roman" w:hAnsi="Times New Roman" w:eastAsia="한양신명조"/>
          <w:sz w:val="20"/>
        </w:rPr>
        <w:tab/>
        <w:t>m = u</w:t>
      </w:r>
      <w:r>
        <w:rPr>
          <w:rFonts w:ascii="Times New Roman" w:hAnsi="Times New Roman" w:eastAsia="한양신명조"/>
          <w:sz w:val="20"/>
          <w:vertAlign w:val="subscript"/>
        </w:rPr>
        <w:t>t</w:t>
      </w:r>
      <w:r>
        <w:rPr>
          <w:rFonts w:ascii="Times New Roman" w:hAnsi="Times New Roman" w:eastAsia="한양신명조"/>
          <w:sz w:val="20"/>
        </w:rPr>
        <w:t xml:space="preserve"> + u</w:t>
      </w:r>
      <w:r>
        <w:rPr>
          <w:rFonts w:ascii="Times New Roman" w:hAnsi="Times New Roman" w:eastAsia="한양신명조"/>
          <w:sz w:val="20"/>
          <w:vertAlign w:val="subscript"/>
        </w:rPr>
        <w:t>b</w:t>
      </w:r>
      <w:r>
        <w:rPr>
          <w:rFonts w:ascii="Times New Roman" w:hAnsi="Times New Roman" w:eastAsia="한양신명조"/>
          <w:sz w:val="20"/>
        </w:rPr>
        <w:t xml:space="preserve"> + h</w:t>
      </w:r>
      <w:r>
        <w:rPr>
          <w:rFonts w:ascii="Times New Roman" w:hAnsi="Times New Roman" w:eastAsia="한양신명조"/>
          <w:sz w:val="20"/>
          <w:vertAlign w:val="subscript"/>
        </w:rPr>
        <w:t>d,t</w:t>
      </w:r>
      <w:r>
        <w:rPr>
          <w:rFonts w:ascii="Times New Roman" w:hAnsi="Times New Roman" w:eastAsia="한양신명조"/>
          <w:sz w:val="20"/>
        </w:rPr>
        <w:t xml:space="preserve"> + h</w:t>
      </w:r>
      <w:r>
        <w:rPr>
          <w:rFonts w:ascii="Times New Roman" w:hAnsi="Times New Roman" w:eastAsia="한양신명조"/>
          <w:sz w:val="20"/>
          <w:vertAlign w:val="subscript"/>
        </w:rPr>
        <w:t>d,b</w:t>
      </w:r>
      <w:r>
        <w:rPr>
          <w:rFonts w:ascii="Times New Roman" w:hAnsi="Times New Roman" w:eastAsia="한양신명조"/>
          <w:sz w:val="20"/>
        </w:rPr>
        <w:t xml:space="preserve"> − (r</w:t>
      </w:r>
      <w:r>
        <w:rPr>
          <w:rFonts w:ascii="Times New Roman" w:hAnsi="Times New Roman" w:eastAsia="한양신명조"/>
          <w:sz w:val="20"/>
          <w:vertAlign w:val="subscript"/>
        </w:rPr>
        <w:t>t</w:t>
      </w:r>
      <w:r>
        <w:rPr>
          <w:rFonts w:ascii="Times New Roman" w:hAnsi="Times New Roman" w:eastAsia="한양신명조"/>
          <w:sz w:val="20"/>
        </w:rPr>
        <w:t xml:space="preserve"> + r</w:t>
      </w:r>
      <w:r>
        <w:rPr>
          <w:rFonts w:ascii="Times New Roman" w:hAnsi="Times New Roman" w:eastAsia="한양신명조"/>
          <w:sz w:val="20"/>
          <w:vertAlign w:val="subscript"/>
        </w:rPr>
        <w:t>b</w:t>
      </w:r>
      <w:r>
        <w:rPr>
          <w:rFonts w:ascii="Times New Roman" w:hAnsi="Times New Roman" w:eastAsia="한양신명조"/>
          <w:sz w:val="20"/>
        </w:rPr>
        <w:t>)</w:t>
        <w:tab/>
        <w:t>(1)</w:t>
      </w:r>
    </w:p>
    <w:p>
      <w:pPr>
        <w:pStyle w:val="a4"/>
        <w:jc w:val="both"/>
      </w:pPr>
      <w:r>
        <w:rPr>
          <w:rFonts w:ascii="Times New Roman" w:hAnsi="Times New Roman" w:eastAsia="한양신명조"/>
        </w:rPr>
        <w:t>u는 ANSYS MAPDL 배열 단위 셀로 계산했다. 300 nm 패드는 3D 이방성 Cu, 큰 패드는 2D 등방 Cu이고, Cu 측벽은 라이너에 접합된 것으로 두되 미끄럼 극한을 대조군으로 계산해 실측으로 판별했다. 300 nm 패드의 방위 의존성은 77방향 해석의 다항 회귀 응답표면으로 나타냈다. h</w:t>
      </w:r>
      <w:r>
        <w:rPr>
          <w:rFonts w:ascii="Times New Roman" w:hAnsi="Times New Roman" w:eastAsia="한양신명조"/>
          <w:vertAlign w:val="subscript"/>
        </w:rPr>
        <w:t>d</w:t>
      </w:r>
      <w:r>
        <w:rPr>
          <w:rFonts w:ascii="Times New Roman" w:hAnsi="Times New Roman" w:eastAsia="한양신명조"/>
        </w:rPr>
        <w:t>는 DM2024</w:t>
      </w:r>
      <w:r>
        <w:rPr>
          <w:rFonts w:ascii="Times New Roman" w:hAnsi="Times New Roman" w:eastAsia="한양신명조"/>
          <w:vertAlign w:val="superscript"/>
        </w:rPr>
        <w:t>[7]</w:t>
      </w:r>
      <w:r>
        <w:rPr>
          <w:rFonts w:ascii="Times New Roman" w:hAnsi="Times New Roman" w:eastAsia="한양신명조"/>
        </w:rPr>
        <w:t>의 선형화를 따라 식 (2), (3)로 둔다.</w:t>
      </w:r>
    </w:p>
    <w:p>
      <w:pPr>
        <w:pStyle w:val="af6"/>
        <w:tabs>
          <w:tab w:pos="2254" w:val="center"/>
          <w:tab w:pos="4479" w:val="right"/>
        </w:tabs>
        <w:spacing w:line="240" w:lineRule="auto" w:before="160" w:after="160"/>
        <w:ind w:firstLine="0" w:left="0"/>
        <w:jc w:val="left"/>
      </w:pPr>
      <w:r>
        <w:rPr>
          <w:rFonts w:ascii="Times New Roman" w:hAnsi="Times New Roman" w:eastAsia="한양신명조"/>
          <w:sz w:val="20"/>
        </w:rPr>
        <w:tab/>
        <w:t>h</w:t>
      </w:r>
      <w:r>
        <w:rPr>
          <w:rFonts w:ascii="Times New Roman" w:hAnsi="Times New Roman" w:eastAsia="한양신명조"/>
          <w:sz w:val="20"/>
          <w:vertAlign w:val="subscript"/>
        </w:rPr>
        <w:t>d</w:t>
      </w:r>
      <w:r>
        <w:rPr>
          <w:rFonts w:ascii="Times New Roman" w:hAnsi="Times New Roman" w:eastAsia="한양신명조"/>
          <w:sz w:val="20"/>
        </w:rPr>
        <w:t xml:space="preserve"> = s</w:t>
      </w:r>
      <w:r>
        <w:rPr>
          <w:rFonts w:ascii="Times New Roman" w:hAnsi="Times New Roman" w:eastAsia="한양신명조"/>
          <w:sz w:val="20"/>
          <w:vertAlign w:val="subscript"/>
        </w:rPr>
        <w:t>ox</w:t>
      </w:r>
      <w:r>
        <w:rPr>
          <w:rFonts w:ascii="Times New Roman" w:hAnsi="Times New Roman" w:eastAsia="한양신명조"/>
          <w:sz w:val="20"/>
        </w:rPr>
        <w:t>·0.0022(θ</w:t>
      </w:r>
      <w:r>
        <w:rPr>
          <w:rFonts w:ascii="Times New Roman" w:hAnsi="Times New Roman" w:eastAsia="한양신명조"/>
          <w:sz w:val="20"/>
          <w:vertAlign w:val="subscript"/>
        </w:rPr>
        <w:t>eff</w:t>
      </w:r>
      <w:r>
        <w:rPr>
          <w:rFonts w:ascii="Times New Roman" w:hAnsi="Times New Roman" w:eastAsia="한양신명조"/>
          <w:sz w:val="20"/>
        </w:rPr>
        <w:t xml:space="preserve"> − 90°)D·f(ω)[1 − e</w:t>
      </w:r>
      <w:r>
        <w:rPr>
          <w:rFonts w:ascii="Times New Roman" w:hAnsi="Times New Roman" w:eastAsia="한양신명조"/>
          <w:sz w:val="20"/>
          <w:vertAlign w:val="superscript"/>
        </w:rPr>
        <w:t>−t/τ</w:t>
      </w:r>
      <w:r>
        <w:rPr>
          <w:rFonts w:ascii="Times New Roman" w:hAnsi="Times New Roman" w:eastAsia="한양신명조"/>
          <w:sz w:val="20"/>
        </w:rPr>
        <w:t>]</w:t>
        <w:tab/>
        <w:t>(2)</w:t>
      </w:r>
    </w:p>
    <w:p>
      <w:pPr>
        <w:pStyle w:val="af6"/>
        <w:tabs>
          <w:tab w:pos="2254" w:val="center"/>
          <w:tab w:pos="4479" w:val="right"/>
        </w:tabs>
        <w:spacing w:line="240" w:lineRule="auto" w:before="160" w:after="160"/>
        <w:ind w:firstLine="0" w:left="0"/>
        <w:jc w:val="left"/>
      </w:pPr>
      <w:r>
        <w:rPr>
          <w:rFonts w:ascii="Times New Roman" w:hAnsi="Times New Roman" w:eastAsia="한양신명조"/>
          <w:sz w:val="20"/>
        </w:rPr>
        <w:tab/>
        <w:t>τ = τ</w:t>
      </w:r>
      <w:r>
        <w:rPr>
          <w:rFonts w:ascii="Times New Roman" w:hAnsi="Times New Roman" w:eastAsia="한양신명조"/>
          <w:sz w:val="20"/>
          <w:vertAlign w:val="subscript"/>
        </w:rPr>
        <w:t>0</w:t>
      </w:r>
      <w:r>
        <w:rPr>
          <w:rFonts w:ascii="Times New Roman" w:hAnsi="Times New Roman" w:eastAsia="한양신명조"/>
          <w:sz w:val="20"/>
        </w:rPr>
        <w:t>·(D/200 nm)</w:t>
      </w:r>
      <w:r>
        <w:rPr>
          <w:rFonts w:ascii="Times New Roman" w:hAnsi="Times New Roman" w:eastAsia="한양신명조"/>
          <w:sz w:val="20"/>
          <w:vertAlign w:val="superscript"/>
        </w:rPr>
        <w:t>3.7</w:t>
      </w:r>
      <w:r>
        <w:rPr>
          <w:rFonts w:ascii="Times New Roman" w:hAnsi="Times New Roman" w:eastAsia="한양신명조"/>
          <w:sz w:val="20"/>
        </w:rPr>
        <w:t>·D</w:t>
      </w:r>
      <w:r>
        <w:rPr>
          <w:rFonts w:ascii="Times New Roman" w:hAnsi="Times New Roman" w:eastAsia="한양신명조"/>
          <w:sz w:val="20"/>
          <w:vertAlign w:val="subscript"/>
        </w:rPr>
        <w:t>s</w:t>
      </w:r>
      <w:r>
        <w:rPr>
          <w:rFonts w:ascii="Times New Roman" w:hAnsi="Times New Roman" w:eastAsia="한양신명조"/>
          <w:sz w:val="20"/>
        </w:rPr>
        <w:t>(350 °C)/D</w:t>
      </w:r>
      <w:r>
        <w:rPr>
          <w:rFonts w:ascii="Times New Roman" w:hAnsi="Times New Roman" w:eastAsia="한양신명조"/>
          <w:sz w:val="20"/>
          <w:vertAlign w:val="subscript"/>
        </w:rPr>
        <w:t>s</w:t>
      </w:r>
      <w:r>
        <w:rPr>
          <w:rFonts w:ascii="Times New Roman" w:hAnsi="Times New Roman" w:eastAsia="한양신명조"/>
          <w:sz w:val="20"/>
        </w:rPr>
        <w:t>(T)</w:t>
        <w:tab/>
        <w:t>(3)</w:t>
      </w:r>
    </w:p>
    <w:p>
      <w:pPr>
        <w:pStyle w:val="a4"/>
        <w:ind w:firstLine="0"/>
        <w:jc w:val="both"/>
      </w:pPr>
      <w:r>
        <w:rPr>
          <w:rFonts w:ascii="Times New Roman" w:hAnsi="Times New Roman" w:eastAsia="한양신명조"/>
        </w:rPr>
        <w:t>s</w:t>
      </w:r>
      <w:r>
        <w:rPr>
          <w:rFonts w:ascii="Times New Roman" w:hAnsi="Times New Roman" w:eastAsia="한양신명조"/>
          <w:vertAlign w:val="subscript"/>
        </w:rPr>
        <w:t>ox</w:t>
      </w:r>
      <w:r>
        <w:rPr>
          <w:rFonts w:ascii="Times New Roman" w:hAnsi="Times New Roman" w:eastAsia="한양신명조"/>
        </w:rPr>
        <w:t>는 표면 산화 배율, D</w:t>
      </w:r>
      <w:r>
        <w:rPr>
          <w:rFonts w:ascii="Times New Roman" w:hAnsi="Times New Roman" w:eastAsia="한양신명조"/>
          <w:vertAlign w:val="subscript"/>
        </w:rPr>
        <w:t>s</w:t>
      </w:r>
      <w:r>
        <w:rPr>
          <w:rFonts w:ascii="Times New Roman" w:hAnsi="Times New Roman" w:eastAsia="한양신명조"/>
        </w:rPr>
        <w:t>(T)는 Q = 20.7 kcal/mol의 아레니우스 의존이며, f(ω)는 최근접 &lt;111&gt;과의 각 ω에 따른 방위 함수로 실측 분포에 맞춘 기본 4종과 비관 시나리오 2종을 쓴다.</w:t>
      </w:r>
    </w:p>
    <w:p>
      <w:pPr>
        <w:pStyle w:val="a4"/>
        <w:keepNext/>
        <w:spacing w:line="240" w:lineRule="auto" w:before="200" w:after="0"/>
        <w:ind w:firstLine="0"/>
        <w:jc w:val="center"/>
      </w:pPr>
      <w:r>
        <w:drawing>
          <wp:inline xmlns:a="http://schemas.openxmlformats.org/drawingml/2006/main" xmlns:pic="http://schemas.openxmlformats.org/drawingml/2006/picture">
            <wp:extent cx="2448000" cy="198276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4"/>
                    <a:stretch>
                      <a:fillRect/>
                    </a:stretch>
                  </pic:blipFill>
                  <pic:spPr>
                    <a:xfrm>
                      <a:off x="0" y="0"/>
                      <a:ext cx="2448000" cy="1982763"/>
                    </a:xfrm>
                    <a:prstGeom prst="rect"/>
                  </pic:spPr>
                </pic:pic>
              </a:graphicData>
            </a:graphic>
          </wp:inline>
        </w:drawing>
      </w:r>
    </w:p>
    <w:p>
      <w:pPr>
        <w:pStyle w:val="a8"/>
        <w:spacing w:before="80" w:after="200"/>
      </w:pPr>
      <w:r>
        <w:rPr>
          <w:rFonts w:ascii="Times New Roman" w:hAnsi="Times New Roman" w:eastAsia="한양신명조"/>
        </w:rPr>
        <w:t>Fig. 1. (a) Pad pair: recess r, thermo-elastic protrusion u and bulge-out h</w:t>
      </w:r>
      <w:r>
        <w:rPr>
          <w:rFonts w:ascii="Times New Roman" w:hAnsi="Times New Roman" w:eastAsia="한양신명조"/>
          <w:vertAlign w:val="subscript"/>
        </w:rPr>
        <w:t>d</w:t>
      </w:r>
      <w:r>
        <w:rPr>
          <w:rFonts w:ascii="Times New Roman" w:hAnsi="Times New Roman" w:eastAsia="한양신명조"/>
        </w:rPr>
        <w:t>; contact if m ≥ 0. (b) Evaluation order with criteria fixed in advance</w:t>
      </w:r>
    </w:p>
    <w:p>
      <w:pPr>
        <w:pStyle w:val="a6"/>
        <w:keepNext/>
      </w:pPr>
      <w:r>
        <w:rPr>
          <w:rFonts w:ascii="Times New Roman" w:hAnsi="Times New Roman" w:eastAsia="한양신명조"/>
        </w:rPr>
        <w:t>2. 공정 조건 계산과 검증</w:t>
      </w:r>
    </w:p>
    <w:p>
      <w:pPr>
        <w:pStyle w:val="a4"/>
        <w:jc w:val="both"/>
      </w:pPr>
      <w:r>
        <w:rPr>
          <w:rFonts w:ascii="Times New Roman" w:hAnsi="Times New Roman" w:eastAsia="한양신명조"/>
        </w:rPr>
        <w:t>패드별 방위와 recess</w:t>
      </w:r>
      <w:r>
        <w:rPr>
          <w:rFonts w:ascii="Times New Roman" w:hAnsi="Times New Roman" w:eastAsia="한양신명조"/>
          <w:vertAlign w:val="superscript"/>
        </w:rPr>
        <w:t>[9]</w:t>
      </w:r>
      <w:r>
        <w:rPr>
          <w:rFonts w:ascii="Times New Roman" w:hAnsi="Times New Roman" w:eastAsia="한양신명조"/>
        </w:rPr>
        <w:t>를 확률 변수로 두고 Monte Carlo로 접촉 확률 P(m ≥ 0)를 계산한다. f(ω), 탄성 계수 b, τ</w:t>
      </w:r>
      <w:r>
        <w:rPr>
          <w:rFonts w:ascii="Times New Roman" w:hAnsi="Times New Roman" w:eastAsia="한양신명조"/>
          <w:vertAlign w:val="subscript"/>
        </w:rPr>
        <w:t>0</w:t>
      </w:r>
      <w:r>
        <w:rPr>
          <w:rFonts w:ascii="Times New Roman" w:hAnsi="Times New Roman" w:eastAsia="한양신명조"/>
        </w:rPr>
        <w:t>, Q의 모든 조합을 불확실성 집합으로 두고, 200–400 °C에서 P ≥ 0.99를 만족하는 최소 어닐 시간의 경계를 구한다. 방위 분포 가정을 뺀 최악 방위 기준도 함께 계산하고, 요인의 영향은 한 요인만 바꿨을 때 경계 온도의 이동과 최소 어닐 시간의 배수로 나타낸다. 탄성 모델은 큰 패드로 학습해 작은 패드로, 확산 항은 imec 2026의 한 점으로 학습해 나머지 17점과 DM2023 7점으로 테스트했다(Table 1). 학습·테스트 데이터 분할과 합격 기준은 계산 전에 고정하였고, 테스트 데이터는 한 번만 평가하였다.</w:t>
      </w:r>
    </w:p>
    <w:p>
      <w:pPr>
        <w:pStyle w:val="a8"/>
        <w:keepNext/>
        <w:spacing w:before="120" w:after="80"/>
      </w:pPr>
      <w:r>
        <w:rPr>
          <w:rFonts w:ascii="Times New Roman" w:hAnsi="Times New Roman" w:eastAsia="한양신명조"/>
        </w:rPr>
        <w:t>Table 1. Datasets and their roles</w:t>
      </w:r>
    </w:p>
    <w:tbl>
      <w:tblPr>
        <w:tblW w:type="auto" w:w="0"/>
        <w:jc w:val="center"/>
        <w:tblLayout w:type="fixed"/>
        <w:tblLook w:firstColumn="1" w:firstRow="1" w:lastColumn="0" w:lastRow="0" w:noHBand="0" w:noVBand="1" w:val="04A0"/>
        <w:tblLayout w:type="fixed"/>
        <w:tblCellMar>
          <w:left w:w="45" w:type="dxa"/>
          <w:right w:w="45" w:type="dxa"/>
        </w:tblCellMar>
      </w:tblPr>
      <w:tblGrid>
        <w:gridCol w:w="2409"/>
        <w:gridCol w:w="2409"/>
        <w:gridCol w:w="2409"/>
        <w:gridCol w:w="2409"/>
      </w:tblGrid>
      <w:tr>
        <w:trPr>
          <w:cantSplit/>
        </w:trPr>
        <w:tc>
          <w:tcPr>
            <w:tcW w:type="dxa" w:w="1276"/>
            <w:tcBorders>
              <w:top w:val="single" w:sz="8" w:color="000000"/>
              <w:bottom w:val="nil"/>
              <w:left w:val="nil"/>
              <w:right w:val="nil"/>
            </w:tcBorders>
          </w:tcPr>
          <w:p>
            <w:pPr>
              <w:keepNext/>
              <w:spacing w:after="0" w:line="240" w:lineRule="auto" w:before="0"/>
              <w:ind w:firstLine="0"/>
              <w:jc w:val="left"/>
            </w:pPr>
            <w:r>
              <w:rPr>
                <w:rFonts w:ascii="Times New Roman" w:hAnsi="Times New Roman" w:eastAsia="Times New Roman"/>
                <w:b/>
                <w:sz w:val="14"/>
              </w:rPr>
              <w:t>Group / process</w:t>
            </w:r>
          </w:p>
        </w:tc>
        <w:tc>
          <w:tcPr>
            <w:tcW w:type="dxa" w:w="1134"/>
            <w:tcBorders>
              <w:top w:val="single" w:sz="8" w:color="000000"/>
              <w:bottom w:val="nil"/>
              <w:left w:val="nil"/>
              <w:right w:val="nil"/>
            </w:tcBorders>
          </w:tcPr>
          <w:p>
            <w:pPr>
              <w:keepNext/>
              <w:spacing w:after="0" w:line="240" w:lineRule="auto" w:before="0"/>
              <w:ind w:firstLine="0"/>
              <w:jc w:val="left"/>
            </w:pPr>
            <w:r>
              <w:rPr>
                <w:rFonts w:ascii="Times New Roman" w:hAnsi="Times New Roman" w:eastAsia="Times New Roman"/>
                <w:b/>
                <w:sz w:val="14"/>
              </w:rPr>
              <w:t>Measurement</w:t>
            </w:r>
          </w:p>
        </w:tc>
        <w:tc>
          <w:tcPr>
            <w:tcW w:type="dxa" w:w="1106"/>
            <w:tcBorders>
              <w:top w:val="single" w:sz="8" w:color="000000"/>
              <w:bottom w:val="nil"/>
              <w:left w:val="nil"/>
              <w:right w:val="nil"/>
            </w:tcBorders>
          </w:tcPr>
          <w:p>
            <w:pPr>
              <w:keepNext/>
              <w:spacing w:after="0" w:line="240" w:lineRule="auto" w:before="0"/>
              <w:ind w:firstLine="0"/>
              <w:jc w:val="left"/>
            </w:pPr>
            <w:r>
              <w:rPr>
                <w:rFonts w:ascii="Times New Roman" w:hAnsi="Times New Roman" w:eastAsia="Times New Roman"/>
                <w:b/>
                <w:sz w:val="14"/>
              </w:rPr>
              <w:t>Sizes</w:t>
            </w:r>
          </w:p>
        </w:tc>
        <w:tc>
          <w:tcPr>
            <w:tcW w:type="dxa" w:w="992"/>
            <w:tcBorders>
              <w:top w:val="single" w:sz="8" w:color="000000"/>
              <w:bottom w:val="nil"/>
              <w:left w:val="nil"/>
              <w:right w:val="nil"/>
            </w:tcBorders>
          </w:tcPr>
          <w:p>
            <w:pPr>
              <w:keepNext/>
              <w:spacing w:after="0" w:line="240" w:lineRule="auto" w:before="0"/>
              <w:ind w:firstLine="0"/>
              <w:jc w:val="left"/>
            </w:pPr>
            <w:r>
              <w:rPr>
                <w:rFonts w:ascii="Times New Roman" w:hAnsi="Times New Roman" w:eastAsia="Times New Roman"/>
                <w:b/>
                <w:sz w:val="14"/>
              </w:rPr>
              <w:t>Role</w:t>
            </w:r>
          </w:p>
        </w:tc>
      </w:tr>
      <w:tr>
        <w:trPr>
          <w:cantSplit/>
        </w:trPr>
        <w:tc>
          <w:tcPr>
            <w:tcW w:type="dxa" w:w="1276"/>
            <w:tcBorders>
              <w:top w:val="single" w:sz="4" w:color="000000"/>
              <w:bottom w:val="nil"/>
              <w:left w:val="nil"/>
              <w:right w:val="nil"/>
            </w:tcBorders>
          </w:tcPr>
          <w:p>
            <w:pPr>
              <w:keepNext/>
              <w:spacing w:after="0" w:line="240" w:lineRule="auto" w:before="0"/>
              <w:ind w:firstLine="0"/>
              <w:jc w:val="left"/>
            </w:pPr>
            <w:r>
              <w:rPr>
                <w:rFonts w:ascii="Times New Roman" w:hAnsi="Times New Roman" w:eastAsia="Times New Roman"/>
                <w:b w:val="0"/>
                <w:sz w:val="14"/>
              </w:rPr>
              <w:t xml:space="preserve">NYCU </w:t>
            </w:r>
            <w:r>
              <w:rPr>
                <w:rFonts w:ascii="Times New Roman" w:hAnsi="Times New Roman" w:eastAsia="Times New Roman"/>
                <w:b w:val="0"/>
                <w:sz w:val="14"/>
                <w:vertAlign w:val="superscript"/>
              </w:rPr>
              <w:t>[5,6]</w:t>
            </w:r>
            <w:r>
              <w:rPr>
                <w:rFonts w:ascii="Times New Roman" w:hAnsi="Times New Roman" w:eastAsia="Times New Roman"/>
                <w:b w:val="0"/>
                <w:sz w:val="14"/>
              </w:rPr>
              <w:t>, Cu/SiO</w:t>
            </w:r>
            <w:r>
              <w:rPr>
                <w:rFonts w:ascii="Times New Roman" w:hAnsi="Times New Roman" w:eastAsia="Times New Roman"/>
                <w:b w:val="0"/>
                <w:sz w:val="14"/>
                <w:vertAlign w:val="subscript"/>
              </w:rPr>
              <w:t>2</w:t>
            </w:r>
          </w:p>
        </w:tc>
        <w:tc>
          <w:tcPr>
            <w:tcW w:type="dxa" w:w="1134"/>
            <w:tcBorders>
              <w:top w:val="single" w:sz="4" w:color="000000"/>
              <w:bottom w:val="nil"/>
              <w:left w:val="nil"/>
              <w:right w:val="nil"/>
            </w:tcBorders>
          </w:tcPr>
          <w:p>
            <w:pPr>
              <w:keepNext/>
              <w:spacing w:after="0" w:line="240" w:lineRule="auto" w:before="0"/>
              <w:ind w:firstLine="0"/>
              <w:jc w:val="left"/>
            </w:pPr>
            <w:r>
              <w:rPr>
                <w:rFonts w:ascii="Times New Roman" w:hAnsi="Times New Roman" w:eastAsia="Times New Roman"/>
                <w:b w:val="0"/>
                <w:sz w:val="14"/>
              </w:rPr>
              <w:t>in-situ AFM u(T)</w:t>
            </w:r>
          </w:p>
        </w:tc>
        <w:tc>
          <w:tcPr>
            <w:tcW w:type="dxa" w:w="1106"/>
            <w:tcBorders>
              <w:top w:val="single" w:sz="4" w:color="000000"/>
              <w:bottom w:val="nil"/>
              <w:left w:val="nil"/>
              <w:right w:val="nil"/>
            </w:tcBorders>
          </w:tcPr>
          <w:p>
            <w:pPr>
              <w:keepNext/>
              <w:spacing w:after="0" w:line="240" w:lineRule="auto" w:before="0"/>
              <w:ind w:firstLine="0"/>
              <w:jc w:val="left"/>
            </w:pPr>
            <w:r>
              <w:rPr>
                <w:rFonts w:ascii="Times New Roman" w:hAnsi="Times New Roman" w:eastAsia="Times New Roman"/>
                <w:b w:val="0"/>
                <w:sz w:val="14"/>
              </w:rPr>
              <w:t>9, 3, 1 µm</w:t>
            </w:r>
          </w:p>
        </w:tc>
        <w:tc>
          <w:tcPr>
            <w:tcW w:type="dxa" w:w="992"/>
            <w:tcBorders>
              <w:top w:val="single" w:sz="4" w:color="000000"/>
              <w:bottom w:val="nil"/>
              <w:left w:val="nil"/>
              <w:right w:val="nil"/>
            </w:tcBorders>
          </w:tcPr>
          <w:p>
            <w:pPr>
              <w:keepNext/>
              <w:spacing w:after="0" w:line="240" w:lineRule="auto" w:before="0"/>
              <w:ind w:firstLine="0"/>
              <w:jc w:val="left"/>
            </w:pPr>
            <w:r>
              <w:rPr>
                <w:rFonts w:ascii="Times New Roman" w:hAnsi="Times New Roman" w:eastAsia="Times New Roman"/>
                <w:b w:val="0"/>
                <w:sz w:val="14"/>
              </w:rPr>
              <w:t>train 9, 3; test 1</w:t>
            </w:r>
          </w:p>
        </w:tc>
      </w:tr>
      <w:tr>
        <w:trPr>
          <w:cantSplit/>
        </w:trPr>
        <w:tc>
          <w:tcPr>
            <w:tcW w:type="dxa" w:w="1276"/>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 xml:space="preserve">imec </w:t>
            </w:r>
            <w:r>
              <w:rPr>
                <w:rFonts w:ascii="Times New Roman" w:hAnsi="Times New Roman" w:eastAsia="Times New Roman"/>
                <w:b w:val="0"/>
                <w:sz w:val="14"/>
                <w:vertAlign w:val="superscript"/>
              </w:rPr>
              <w:t>[2]</w:t>
            </w:r>
            <w:r>
              <w:rPr>
                <w:rFonts w:ascii="Times New Roman" w:hAnsi="Times New Roman" w:eastAsia="Times New Roman"/>
                <w:b w:val="0"/>
                <w:sz w:val="14"/>
              </w:rPr>
              <w:t>, Cu/SiCN</w:t>
            </w:r>
          </w:p>
        </w:tc>
        <w:tc>
          <w:tcPr>
            <w:tcW w:type="dxa" w:w="1134"/>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in-situ SPM u(T)</w:t>
            </w:r>
          </w:p>
        </w:tc>
        <w:tc>
          <w:tcPr>
            <w:tcW w:type="dxa" w:w="1106"/>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3.06, 1.80, 1.26, 0.54 µm</w:t>
            </w:r>
          </w:p>
        </w:tc>
        <w:tc>
          <w:tcPr>
            <w:tcW w:type="dxa" w:w="992"/>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train 3.06, 1.80; test 1.26, 0.54</w:t>
            </w:r>
          </w:p>
        </w:tc>
      </w:tr>
      <w:tr>
        <w:trPr>
          <w:cantSplit/>
        </w:trPr>
        <w:tc>
          <w:tcPr>
            <w:tcW w:type="dxa" w:w="1276"/>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 xml:space="preserve">imec DM2026 </w:t>
            </w:r>
            <w:r>
              <w:rPr>
                <w:rFonts w:ascii="Times New Roman" w:hAnsi="Times New Roman" w:eastAsia="Times New Roman"/>
                <w:b w:val="0"/>
                <w:sz w:val="14"/>
                <w:vertAlign w:val="superscript"/>
              </w:rPr>
              <w:t>[3]</w:t>
            </w:r>
            <w:r>
              <w:rPr>
                <w:rFonts w:ascii="Times New Roman" w:hAnsi="Times New Roman" w:eastAsia="Times New Roman"/>
                <w:b w:val="0"/>
                <w:sz w:val="14"/>
              </w:rPr>
              <w:t>, Cu/SiCN</w:t>
            </w:r>
          </w:p>
        </w:tc>
        <w:tc>
          <w:tcPr>
            <w:tcW w:type="dxa" w:w="1134"/>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bulge-out distributions</w:t>
            </w:r>
          </w:p>
        </w:tc>
        <w:tc>
          <w:tcPr>
            <w:tcW w:type="dxa" w:w="1106"/>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115–300 nm, 200–450 °C</w:t>
            </w:r>
          </w:p>
        </w:tc>
        <w:tc>
          <w:tcPr>
            <w:tcW w:type="dxa" w:w="992"/>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train 1 point; test 17</w:t>
            </w:r>
          </w:p>
        </w:tc>
      </w:tr>
      <w:tr>
        <w:trPr>
          <w:cantSplit/>
        </w:trPr>
        <w:tc>
          <w:tcPr>
            <w:tcW w:type="dxa" w:w="1276"/>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 xml:space="preserve">imec DM2023 </w:t>
            </w:r>
            <w:r>
              <w:rPr>
                <w:rFonts w:ascii="Times New Roman" w:hAnsi="Times New Roman" w:eastAsia="Times New Roman"/>
                <w:b w:val="0"/>
                <w:sz w:val="14"/>
                <w:vertAlign w:val="superscript"/>
              </w:rPr>
              <w:t>[2]</w:t>
            </w:r>
          </w:p>
        </w:tc>
        <w:tc>
          <w:tcPr>
            <w:tcW w:type="dxa" w:w="1134"/>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bulge-out, unequal pads</w:t>
            </w:r>
          </w:p>
        </w:tc>
        <w:tc>
          <w:tcPr>
            <w:tcW w:type="dxa" w:w="1106"/>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w:t>
            </w:r>
          </w:p>
        </w:tc>
        <w:tc>
          <w:tcPr>
            <w:tcW w:type="dxa" w:w="992"/>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test 7</w:t>
            </w:r>
          </w:p>
        </w:tc>
      </w:tr>
      <w:tr>
        <w:trPr>
          <w:cantSplit/>
        </w:trPr>
        <w:tc>
          <w:tcPr>
            <w:tcW w:type="dxa" w:w="1276"/>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 xml:space="preserve">ST/Leti </w:t>
            </w:r>
            <w:r>
              <w:rPr>
                <w:rFonts w:ascii="Times New Roman" w:hAnsi="Times New Roman" w:eastAsia="Times New Roman"/>
                <w:b w:val="0"/>
                <w:sz w:val="14"/>
                <w:vertAlign w:val="superscript"/>
              </w:rPr>
              <w:t>[4]</w:t>
            </w:r>
            <w:r>
              <w:rPr>
                <w:rFonts w:ascii="Times New Roman" w:hAnsi="Times New Roman" w:eastAsia="Times New Roman"/>
                <w:b w:val="0"/>
                <w:sz w:val="14"/>
              </w:rPr>
              <w:t>, Cu/SiO</w:t>
            </w:r>
            <w:r>
              <w:rPr>
                <w:rFonts w:ascii="Times New Roman" w:hAnsi="Times New Roman" w:eastAsia="Times New Roman"/>
                <w:b w:val="0"/>
                <w:sz w:val="14"/>
                <w:vertAlign w:val="subscript"/>
              </w:rPr>
              <w:t>2</w:t>
            </w:r>
          </w:p>
        </w:tc>
        <w:tc>
          <w:tcPr>
            <w:tcW w:type="dxa" w:w="1134"/>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Laue ε′</w:t>
            </w:r>
            <w:r>
              <w:rPr>
                <w:rFonts w:ascii="Times New Roman" w:hAnsi="Times New Roman" w:eastAsia="Times New Roman"/>
                <w:b w:val="0"/>
                <w:sz w:val="14"/>
                <w:vertAlign w:val="subscript"/>
              </w:rPr>
              <w:t>zz</w:t>
            </w:r>
            <w:r>
              <w:rPr>
                <w:rFonts w:ascii="Times New Roman" w:hAnsi="Times New Roman" w:eastAsia="Times New Roman"/>
                <w:b w:val="0"/>
                <w:sz w:val="14"/>
              </w:rPr>
              <w:t>(T)</w:t>
            </w:r>
          </w:p>
        </w:tc>
        <w:tc>
          <w:tcPr>
            <w:tcW w:type="dxa" w:w="1106"/>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0.3, 3 µm</w:t>
            </w:r>
          </w:p>
        </w:tc>
        <w:tc>
          <w:tcPr>
            <w:tcW w:type="dxa" w:w="992"/>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comparison</w:t>
            </w:r>
          </w:p>
        </w:tc>
      </w:tr>
      <w:tr>
        <w:trPr>
          <w:cantSplit/>
        </w:trPr>
        <w:tc>
          <w:tcPr>
            <w:tcW w:type="dxa" w:w="1276"/>
            <w:tcBorders>
              <w:top w:val="nil"/>
              <w:bottom w:val="single" w:sz="8" w:color="000000"/>
              <w:left w:val="nil"/>
              <w:right w:val="nil"/>
            </w:tcBorders>
          </w:tcPr>
          <w:p>
            <w:pPr>
              <w:spacing w:after="0" w:line="240" w:lineRule="auto" w:before="0"/>
              <w:ind w:firstLine="0"/>
              <w:jc w:val="left"/>
            </w:pPr>
            <w:r>
              <w:rPr>
                <w:rFonts w:ascii="Times New Roman" w:hAnsi="Times New Roman" w:eastAsia="Times New Roman"/>
                <w:b w:val="0"/>
                <w:sz w:val="14"/>
              </w:rPr>
              <w:t xml:space="preserve">imec IRPS 2026 </w:t>
            </w:r>
            <w:r>
              <w:rPr>
                <w:rFonts w:ascii="Times New Roman" w:hAnsi="Times New Roman" w:eastAsia="Times New Roman"/>
                <w:b w:val="0"/>
                <w:sz w:val="14"/>
                <w:vertAlign w:val="superscript"/>
              </w:rPr>
              <w:t>[9]</w:t>
            </w:r>
          </w:p>
        </w:tc>
        <w:tc>
          <w:tcPr>
            <w:tcW w:type="dxa" w:w="1134"/>
            <w:tcBorders>
              <w:top w:val="nil"/>
              <w:bottom w:val="single" w:sz="8" w:color="000000"/>
              <w:left w:val="nil"/>
              <w:right w:val="nil"/>
            </w:tcBorders>
          </w:tcPr>
          <w:p>
            <w:pPr>
              <w:spacing w:after="0" w:line="240" w:lineRule="auto" w:before="0"/>
              <w:ind w:firstLine="0"/>
              <w:jc w:val="left"/>
            </w:pPr>
            <w:r>
              <w:rPr>
                <w:rFonts w:ascii="Times New Roman" w:hAnsi="Times New Roman" w:eastAsia="Times New Roman"/>
                <w:b w:val="0"/>
                <w:sz w:val="14"/>
              </w:rPr>
              <w:t>recess distribution</w:t>
            </w:r>
          </w:p>
        </w:tc>
        <w:tc>
          <w:tcPr>
            <w:tcW w:type="dxa" w:w="1106"/>
            <w:tcBorders>
              <w:top w:val="nil"/>
              <w:bottom w:val="single" w:sz="8" w:color="000000"/>
              <w:left w:val="nil"/>
              <w:right w:val="nil"/>
            </w:tcBorders>
          </w:tcPr>
          <w:p>
            <w:pPr>
              <w:spacing w:after="0" w:line="240" w:lineRule="auto" w:before="0"/>
              <w:ind w:firstLine="0"/>
              <w:jc w:val="left"/>
            </w:pPr>
            <w:r>
              <w:rPr>
                <w:rFonts w:ascii="Times New Roman" w:hAnsi="Times New Roman" w:eastAsia="Times New Roman"/>
                <w:b w:val="0"/>
                <w:sz w:val="14"/>
              </w:rPr>
              <w:t>—</w:t>
            </w:r>
          </w:p>
        </w:tc>
        <w:tc>
          <w:tcPr>
            <w:tcW w:type="dxa" w:w="992"/>
            <w:tcBorders>
              <w:top w:val="nil"/>
              <w:bottom w:val="single" w:sz="8" w:color="000000"/>
              <w:left w:val="nil"/>
              <w:right w:val="nil"/>
            </w:tcBorders>
          </w:tcPr>
          <w:p>
            <w:pPr>
              <w:spacing w:after="0" w:line="240" w:lineRule="auto" w:before="0"/>
              <w:ind w:firstLine="0"/>
              <w:jc w:val="left"/>
            </w:pPr>
            <w:r>
              <w:rPr>
                <w:rFonts w:ascii="Times New Roman" w:hAnsi="Times New Roman" w:eastAsia="Times New Roman"/>
                <w:b w:val="0"/>
                <w:sz w:val="14"/>
              </w:rPr>
              <w:t>input</w:t>
            </w:r>
          </w:p>
        </w:tc>
      </w:tr>
    </w:tbl>
    <w:p>
      <w:pPr>
        <w:pStyle w:val="a4"/>
        <w:spacing w:line="144" w:lineRule="auto" w:before="0" w:after="160"/>
      </w:pPr>
    </w:p>
    <w:p>
      <w:pPr>
        <w:pStyle w:val="a5"/>
        <w:keepNext/>
      </w:pPr>
      <w:r>
        <w:rPr>
          <w:rFonts w:ascii="Times New Roman" w:hAnsi="Times New Roman" w:eastAsia="한양신명조"/>
        </w:rPr>
        <w:t>Ⅲ. 결  과</w:t>
      </w:r>
    </w:p>
    <w:p>
      <w:pPr>
        <w:pStyle w:val="a6"/>
        <w:keepNext/>
      </w:pPr>
      <w:r>
        <w:rPr>
          <w:rFonts w:ascii="Times New Roman" w:hAnsi="Times New Roman" w:eastAsia="한양신명조"/>
        </w:rPr>
        <w:t>1. 탄성 모델과 탄성 접촉 한계</w:t>
      </w:r>
    </w:p>
    <w:p>
      <w:pPr>
        <w:pStyle w:val="a4"/>
        <w:jc w:val="both"/>
      </w:pPr>
      <w:r>
        <w:rPr>
          <w:rFonts w:ascii="Times New Roman" w:hAnsi="Times New Roman" w:eastAsia="한양신명조"/>
        </w:rPr>
        <w:t xml:space="preserve">Table 2는 테스트 결과다. 접합 측벽 조건의 테스트에서 NYCU 1 µm는 실측과 일치했고, imec 1.26 µm는 200 °C 이하에서만 맞았으며, 0.54 µm는 온도와 무관하게 과대예측했다. 이 위·아래 탄성 돌출이 recess 합 5 nm를 닫는 최소 폭은 400 °C의 실측 기준 0.70 µm이며, 구속 계수 근사식으로 보면 온도가 낮아질수록 넓어져 250 °C에서 1.62 µm가 된다. </w:t>
      </w:r>
    </w:p>
    <w:p>
      <w:pPr>
        <w:pStyle w:val="a8"/>
        <w:keepNext/>
        <w:spacing w:before="120" w:after="80"/>
      </w:pPr>
      <w:r>
        <w:rPr>
          <w:rFonts w:ascii="Times New Roman" w:hAnsi="Times New Roman" w:eastAsia="한양신명조"/>
        </w:rPr>
        <w:t>Table 2. Test results</w:t>
      </w:r>
    </w:p>
    <w:tbl>
      <w:tblPr>
        <w:tblW w:type="auto" w:w="0"/>
        <w:jc w:val="center"/>
        <w:tblLayout w:type="fixed"/>
        <w:tblLook w:firstColumn="1" w:firstRow="1" w:lastColumn="0" w:lastRow="0" w:noHBand="0" w:noVBand="1" w:val="04A0"/>
        <w:tblLayout w:type="fixed"/>
        <w:tblCellMar>
          <w:left w:w="45" w:type="dxa"/>
          <w:right w:w="45" w:type="dxa"/>
        </w:tblCellMar>
      </w:tblPr>
      <w:tblGrid>
        <w:gridCol w:w="4818"/>
        <w:gridCol w:w="4818"/>
      </w:tblGrid>
      <w:tr>
        <w:trPr>
          <w:cantSplit/>
        </w:trPr>
        <w:tc>
          <w:tcPr>
            <w:tcW w:type="dxa" w:w="2608"/>
            <w:tcBorders>
              <w:top w:val="single" w:sz="8" w:color="000000"/>
              <w:bottom w:val="nil"/>
              <w:left w:val="nil"/>
              <w:right w:val="nil"/>
            </w:tcBorders>
          </w:tcPr>
          <w:p>
            <w:pPr>
              <w:keepNext/>
              <w:spacing w:after="0" w:line="240" w:lineRule="auto" w:before="0"/>
              <w:ind w:firstLine="0"/>
              <w:jc w:val="left"/>
            </w:pPr>
            <w:r>
              <w:rPr>
                <w:rFonts w:ascii="Times New Roman" w:hAnsi="Times New Roman" w:eastAsia="Times New Roman"/>
                <w:b/>
                <w:sz w:val="14"/>
              </w:rPr>
              <w:t>Item</w:t>
            </w:r>
          </w:p>
        </w:tc>
        <w:tc>
          <w:tcPr>
            <w:tcW w:type="dxa" w:w="1899"/>
            <w:tcBorders>
              <w:top w:val="single" w:sz="8" w:color="000000"/>
              <w:bottom w:val="nil"/>
              <w:left w:val="nil"/>
              <w:right w:val="nil"/>
            </w:tcBorders>
          </w:tcPr>
          <w:p>
            <w:pPr>
              <w:keepNext/>
              <w:spacing w:after="0" w:line="240" w:lineRule="auto" w:before="0"/>
              <w:ind w:firstLine="0"/>
              <w:jc w:val="left"/>
            </w:pPr>
            <w:r>
              <w:rPr>
                <w:rFonts w:ascii="Times New Roman" w:hAnsi="Times New Roman" w:eastAsia="Times New Roman"/>
                <w:b/>
                <w:sz w:val="14"/>
              </w:rPr>
              <w:t>Result</w:t>
            </w:r>
          </w:p>
        </w:tc>
      </w:tr>
      <w:tr>
        <w:trPr>
          <w:cantSplit/>
        </w:trPr>
        <w:tc>
          <w:tcPr>
            <w:tcW w:type="dxa" w:w="2608"/>
            <w:tcBorders>
              <w:top w:val="single" w:sz="4" w:color="000000"/>
              <w:bottom w:val="nil"/>
              <w:left w:val="nil"/>
              <w:right w:val="nil"/>
            </w:tcBorders>
          </w:tcPr>
          <w:p>
            <w:pPr>
              <w:keepNext/>
              <w:spacing w:after="0" w:line="240" w:lineRule="auto" w:before="0"/>
              <w:ind w:firstLine="0"/>
              <w:jc w:val="left"/>
            </w:pPr>
            <w:r>
              <w:rPr>
                <w:rFonts w:ascii="Times New Roman" w:hAnsi="Times New Roman" w:eastAsia="Times New Roman"/>
                <w:b w:val="0"/>
                <w:sz w:val="14"/>
              </w:rPr>
              <w:t>Elastic test: NYCU 1 µm; imec 1.26 µm at 100–200 °C</w:t>
            </w:r>
          </w:p>
        </w:tc>
        <w:tc>
          <w:tcPr>
            <w:tcW w:type="dxa" w:w="1899"/>
            <w:tcBorders>
              <w:top w:val="single" w:sz="4" w:color="000000"/>
              <w:bottom w:val="nil"/>
              <w:left w:val="nil"/>
              <w:right w:val="nil"/>
            </w:tcBorders>
          </w:tcPr>
          <w:p>
            <w:pPr>
              <w:keepNext/>
              <w:spacing w:after="0" w:line="240" w:lineRule="auto" w:before="0"/>
              <w:ind w:firstLine="0"/>
              <w:jc w:val="left"/>
            </w:pPr>
            <w:r>
              <w:rPr>
                <w:rFonts w:ascii="Times New Roman" w:hAnsi="Times New Roman" w:eastAsia="Times New Roman"/>
                <w:b w:val="0"/>
                <w:sz w:val="14"/>
              </w:rPr>
              <w:t>pass</w:t>
            </w:r>
          </w:p>
        </w:tc>
      </w:tr>
      <w:tr>
        <w:trPr>
          <w:cantSplit/>
        </w:trPr>
        <w:tc>
          <w:tcPr>
            <w:tcW w:type="dxa" w:w="2608"/>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Elastic test: imec 1.26 µm at 300–400 °C; imec 0.54 µm</w:t>
            </w:r>
          </w:p>
        </w:tc>
        <w:tc>
          <w:tcPr>
            <w:tcW w:type="dxa" w:w="1899"/>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fail; 0.54 µm meas./model 0.61–0.69</w:t>
            </w:r>
          </w:p>
        </w:tc>
      </w:tr>
      <w:tr>
        <w:trPr>
          <w:cantSplit/>
        </w:trPr>
        <w:tc>
          <w:tcPr>
            <w:tcW w:type="dxa" w:w="2608"/>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Sliding sidewall control, 1 / 0.54 µm</w:t>
            </w:r>
          </w:p>
        </w:tc>
        <w:tc>
          <w:tcPr>
            <w:tcW w:type="dxa" w:w="1899"/>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over-predicts 1.7× / 3.5× → bonded</w:t>
            </w:r>
          </w:p>
        </w:tc>
      </w:tr>
      <w:tr>
        <w:trPr>
          <w:cantSplit/>
        </w:trPr>
        <w:tc>
          <w:tcPr>
            <w:tcW w:type="dxa" w:w="2608"/>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Constraint-factor fit C(h/w), 4 unseen geometries</w:t>
            </w:r>
          </w:p>
        </w:tc>
        <w:tc>
          <w:tcPr>
            <w:tcW w:type="dxa" w:w="1899"/>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within ±20 %</w:t>
            </w:r>
          </w:p>
        </w:tc>
      </w:tr>
      <w:tr>
        <w:trPr>
          <w:cantSplit/>
        </w:trPr>
        <w:tc>
          <w:tcPr>
            <w:tcW w:type="dxa" w:w="2608"/>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Elastic contact limit at 400 °C, recess sum 3 / 5 / 8 nm</w:t>
            </w:r>
          </w:p>
        </w:tc>
        <w:tc>
          <w:tcPr>
            <w:tcW w:type="dxa" w:w="1899"/>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0.55 / 0.70 / 1.0 µm</w:t>
            </w:r>
          </w:p>
        </w:tc>
      </w:tr>
      <w:tr>
        <w:trPr>
          <w:cantSplit/>
        </w:trPr>
        <w:tc>
          <w:tcPr>
            <w:tcW w:type="dxa" w:w="2608"/>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Diffusion, DM2026 17 points: original / revision 1</w:t>
            </w:r>
          </w:p>
        </w:tc>
        <w:tc>
          <w:tcPr>
            <w:tcW w:type="dxa" w:w="1899"/>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2/17 / 11/17; ≥ 250 °C PPA-Cu 5/5</w:t>
            </w:r>
          </w:p>
        </w:tc>
      </w:tr>
      <w:tr>
        <w:trPr>
          <w:cantSplit/>
        </w:trPr>
        <w:tc>
          <w:tcPr>
            <w:tcW w:type="dxa" w:w="2608"/>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Diffusion, DM2023 7 points</w:t>
            </w:r>
          </w:p>
        </w:tc>
        <w:tc>
          <w:tcPr>
            <w:tcW w:type="dxa" w:w="1899"/>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0/7</w:t>
            </w:r>
          </w:p>
        </w:tc>
      </w:tr>
      <w:tr>
        <w:trPr>
          <w:cantSplit/>
        </w:trPr>
        <w:tc>
          <w:tcPr>
            <w:tcW w:type="dxa" w:w="2608"/>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Orientation response surface, 20 held-out directions</w:t>
            </w:r>
          </w:p>
        </w:tc>
        <w:tc>
          <w:tcPr>
            <w:tcW w:type="dxa" w:w="1899"/>
            <w:tcBorders>
              <w:top w:val="nil"/>
              <w:bottom w:val="nil"/>
              <w:left w:val="nil"/>
              <w:right w:val="nil"/>
            </w:tcBorders>
          </w:tcPr>
          <w:p>
            <w:pPr>
              <w:keepNext/>
              <w:spacing w:after="0" w:line="240" w:lineRule="auto" w:before="0"/>
              <w:ind w:firstLine="0"/>
              <w:jc w:val="left"/>
            </w:pPr>
            <w:r>
              <w:rPr>
                <w:rFonts w:ascii="Times New Roman" w:hAnsi="Times New Roman" w:eastAsia="Times New Roman"/>
                <w:b w:val="0"/>
                <w:sz w:val="14"/>
              </w:rPr>
              <w:t>max. error 0.46 %</w:t>
            </w:r>
          </w:p>
        </w:tc>
      </w:tr>
      <w:tr>
        <w:trPr>
          <w:cantSplit/>
        </w:trPr>
        <w:tc>
          <w:tcPr>
            <w:tcW w:type="dxa" w:w="2608"/>
            <w:tcBorders>
              <w:top w:val="nil"/>
              <w:bottom w:val="single" w:sz="8" w:color="000000"/>
              <w:left w:val="nil"/>
              <w:right w:val="nil"/>
            </w:tcBorders>
          </w:tcPr>
          <w:p>
            <w:pPr>
              <w:spacing w:after="0" w:line="240" w:lineRule="auto" w:before="0"/>
              <w:ind w:firstLine="0"/>
              <w:jc w:val="left"/>
            </w:pPr>
            <w:r>
              <w:rPr>
                <w:rFonts w:ascii="Times New Roman" w:hAnsi="Times New Roman" w:eastAsia="Times New Roman"/>
                <w:b w:val="0"/>
                <w:sz w:val="14"/>
              </w:rPr>
              <w:t>Height sum vs contact FEM without diffusion, bonded</w:t>
            </w:r>
          </w:p>
        </w:tc>
        <w:tc>
          <w:tcPr>
            <w:tcW w:type="dxa" w:w="1899"/>
            <w:tcBorders>
              <w:top w:val="nil"/>
              <w:bottom w:val="single" w:sz="8" w:color="000000"/>
              <w:left w:val="nil"/>
              <w:right w:val="nil"/>
            </w:tcBorders>
          </w:tcPr>
          <w:p>
            <w:pPr>
              <w:spacing w:after="0" w:line="240" w:lineRule="auto" w:before="0"/>
              <w:ind w:firstLine="0"/>
              <w:jc w:val="left"/>
            </w:pPr>
            <w:r>
              <w:rPr>
                <w:rFonts w:ascii="Times New Roman" w:hAnsi="Times New Roman" w:eastAsia="Times New Roman"/>
                <w:b w:val="0"/>
                <w:sz w:val="14"/>
              </w:rPr>
              <w:t>4/4 agree</w:t>
            </w:r>
          </w:p>
        </w:tc>
      </w:tr>
    </w:tbl>
    <w:p>
      <w:pPr>
        <w:pStyle w:val="a4"/>
        <w:spacing w:line="144" w:lineRule="auto" w:before="0" w:after="160"/>
      </w:pPr>
    </w:p>
    <w:p>
      <w:pPr>
        <w:pStyle w:val="a6"/>
        <w:keepNext/>
      </w:pPr>
      <w:r>
        <w:rPr>
          <w:rFonts w:ascii="Times New Roman" w:hAnsi="Times New Roman" w:eastAsia="한양신명조"/>
        </w:rPr>
        <w:t>2. 표면확산 항</w:t>
      </w:r>
    </w:p>
    <w:p>
      <w:pPr>
        <w:pStyle w:val="a4"/>
        <w:jc w:val="both"/>
      </w:pPr>
      <w:r>
        <w:rPr>
          <w:rFonts w:ascii="Times New Roman" w:hAnsi="Times New Roman" w:eastAsia="한양신명조"/>
        </w:rPr>
        <w:t>확산 항은 미리 고정한 기준을 통과하지 못했다. 다만 실패는 200 °C의 큰 패드와 자가 어닐 Cu에 몰려 있고, 250 °C 이상의 PPA-Cu는 모두 허용오차 안에 들었다. 이에 따라 이후 공정 조건은 등크기 패드와 250 °C 이상에서만 해석한다.</w:t>
      </w:r>
    </w:p>
    <w:p>
      <w:pPr>
        <w:pStyle w:val="a6"/>
        <w:keepNext/>
      </w:pPr>
      <w:r>
        <w:rPr>
          <w:rFonts w:ascii="Times New Roman" w:hAnsi="Times New Roman" w:eastAsia="한양신명조"/>
        </w:rPr>
        <w:t>3. 300 nm 공정 조건</w:t>
      </w:r>
    </w:p>
    <w:p>
      <w:pPr>
        <w:pStyle w:val="a4"/>
        <w:jc w:val="both"/>
      </w:pPr>
      <w:r>
        <w:rPr>
          <w:rFonts w:ascii="Times New Roman" w:hAnsi="Times New Roman" w:eastAsia="한양신명조"/>
        </w:rPr>
        <w:t>Fig. 2는 접촉 확률 0.99를 만족하는 최소 어닐 시간을 온도에 대해 나타낸다. 곡선 위쪽이 접촉 영역이고, 띠는 불확실성 집합 전체의 범위다. 탄성만으로 닫히는 조건은 없었다. 띠의 위쪽 끝, 즉 모든 조합에서 접촉하는 경계는 청정 표면에서 2시간 약 250 °C, 30분 285 °C이며, 표면이 산화되면 약 40–50 °C 높아진다. 방위 분포 가정을 뺀 최악 방위 경계(점선)는 &lt;111&gt; 패드가 조금이라도 솟는 f(0) &gt; 0 시나리오에서만 생긴다.</w:t>
      </w:r>
    </w:p>
    <w:p>
      <w:pPr>
        <w:pStyle w:val="a4"/>
        <w:keepNext/>
        <w:spacing w:line="240" w:lineRule="auto" w:before="200" w:after="0"/>
        <w:ind w:firstLine="0"/>
        <w:jc w:val="center"/>
      </w:pPr>
      <w:r>
        <w:drawing>
          <wp:inline xmlns:a="http://schemas.openxmlformats.org/drawingml/2006/main" xmlns:pic="http://schemas.openxmlformats.org/drawingml/2006/picture">
            <wp:extent cx="2736000" cy="2129127"/>
            <wp:docPr id="2" name="Picture 2"/>
            <wp:cNvGraphicFramePr>
              <a:graphicFrameLocks noChangeAspect="1"/>
            </wp:cNvGraphicFramePr>
            <a:graphic>
              <a:graphicData uri="http://schemas.openxmlformats.org/drawingml/2006/picture">
                <pic:pic>
                  <pic:nvPicPr>
                    <pic:cNvPr id="0" name="fig4_window300.png"/>
                    <pic:cNvPicPr/>
                  </pic:nvPicPr>
                  <pic:blipFill>
                    <a:blip r:embed="rId15"/>
                    <a:stretch>
                      <a:fillRect/>
                    </a:stretch>
                  </pic:blipFill>
                  <pic:spPr>
                    <a:xfrm>
                      <a:off x="0" y="0"/>
                      <a:ext cx="2736000" cy="2129127"/>
                    </a:xfrm>
                    <a:prstGeom prst="rect"/>
                  </pic:spPr>
                </pic:pic>
              </a:graphicData>
            </a:graphic>
          </wp:inline>
        </w:drawing>
      </w:r>
    </w:p>
    <w:p>
      <w:pPr>
        <w:pStyle w:val="a8"/>
        <w:spacing w:before="80" w:after="200"/>
      </w:pPr>
      <w:r>
        <w:rPr>
          <w:rFonts w:ascii="Times New Roman" w:hAnsi="Times New Roman" w:eastAsia="한양신명조"/>
        </w:rPr>
        <w:t>Fig. 2. 300 nm pads: minimum anneal time for P(contact) ≥ 0.99, (a) clean, (b) oxidised surface. Band: tested uncertainty set; circles: its boundary at 5 min, 30 min, 2 h (°C); dashed: worst orientation, f(0) &gt; 0; grey: outside data</w:t>
      </w:r>
    </w:p>
    <w:p>
      <w:pPr>
        <w:pStyle w:val="a6"/>
        <w:keepNext/>
      </w:pPr>
      <w:r>
        <w:rPr>
          <w:rFonts w:ascii="Times New Roman" w:hAnsi="Times New Roman" w:eastAsia="한양신명조"/>
        </w:rPr>
        <w:t>4. 요인별 영향</w:t>
      </w:r>
    </w:p>
    <w:p>
      <w:pPr>
        <w:pStyle w:val="a4"/>
        <w:jc w:val="both"/>
      </w:pPr>
      <w:r>
        <w:rPr>
          <w:rFonts w:ascii="Times New Roman" w:hAnsi="Times New Roman" w:eastAsia="한양신명조"/>
        </w:rPr>
        <w:t>Fig. 3a는 한 요인만 바꿨을 때 경계 온도의 이동을, Fig. 3b는 같은 변화를 최소 어닐 시간의 배수로 나타낸다. 확산 동역학(Q, τ</w:t>
      </w:r>
      <w:r>
        <w:rPr>
          <w:rFonts w:ascii="Times New Roman" w:hAnsi="Times New Roman" w:eastAsia="한양신명조"/>
          <w:vertAlign w:val="subscript"/>
        </w:rPr>
        <w:t>0</w:t>
      </w:r>
      <w:r>
        <w:rPr>
          <w:rFonts w:ascii="Times New Roman" w:hAnsi="Times New Roman" w:eastAsia="한양신명조"/>
        </w:rPr>
        <w:t>), 라이너 접촉각, 표면 산화가 25–49 °C로 가장 크고, recess와 방위 같은 패드별 요인은 4–16 °C다. 확산 항을 빼면 400 °C까지 어떤 조건도 닫히지 않는다.</w:t>
      </w:r>
    </w:p>
    <w:p>
      <w:pPr>
        <w:pStyle w:val="a4"/>
        <w:keepNext/>
        <w:spacing w:line="240" w:lineRule="auto" w:before="200" w:after="0"/>
        <w:ind w:firstLine="0"/>
        <w:jc w:val="center"/>
      </w:pPr>
      <w:r>
        <w:drawing>
          <wp:inline xmlns:a="http://schemas.openxmlformats.org/drawingml/2006/main" xmlns:pic="http://schemas.openxmlformats.org/drawingml/2006/picture">
            <wp:extent cx="2736000" cy="2216030"/>
            <wp:docPr id="3" name="Picture 3"/>
            <wp:cNvGraphicFramePr>
              <a:graphicFrameLocks noChangeAspect="1"/>
            </wp:cNvGraphicFramePr>
            <a:graphic>
              <a:graphicData uri="http://schemas.openxmlformats.org/drawingml/2006/picture">
                <pic:pic>
                  <pic:nvPicPr>
                    <pic:cNvPr id="0" name="fig6_factors.png"/>
                    <pic:cNvPicPr/>
                  </pic:nvPicPr>
                  <pic:blipFill>
                    <a:blip r:embed="rId16"/>
                    <a:stretch>
                      <a:fillRect/>
                    </a:stretch>
                  </pic:blipFill>
                  <pic:spPr>
                    <a:xfrm>
                      <a:off x="0" y="0"/>
                      <a:ext cx="2736000" cy="2216030"/>
                    </a:xfrm>
                    <a:prstGeom prst="rect"/>
                  </pic:spPr>
                </pic:pic>
              </a:graphicData>
            </a:graphic>
          </wp:inline>
        </w:drawing>
      </w:r>
    </w:p>
    <w:p>
      <w:pPr>
        <w:pStyle w:val="a8"/>
        <w:spacing w:before="80" w:after="200"/>
      </w:pPr>
      <w:r>
        <w:rPr>
          <w:rFonts w:ascii="Times New Roman" w:hAnsi="Times New Roman" w:eastAsia="한양신명조"/>
        </w:rPr>
        <w:t>Fig. 3. Factor effects on the 300 nm clean boundary: (a) shift of the boundary temperature (30 min, 2 h); (b) multiplier of the minimum anneal time at 250 °C. Without surface diffusion no condition closes up to 400 °C</w:t>
      </w:r>
    </w:p>
    <w:p>
      <w:pPr>
        <w:pStyle w:val="a5"/>
        <w:keepNext/>
      </w:pPr>
      <w:r>
        <w:rPr>
          <w:rFonts w:ascii="Times New Roman" w:hAnsi="Times New Roman" w:eastAsia="한양신명조"/>
        </w:rPr>
        <w:t>Ⅳ. 결론 및 의의</w:t>
      </w:r>
    </w:p>
    <w:p>
      <w:pPr>
        <w:pStyle w:val="a4"/>
        <w:jc w:val="both"/>
      </w:pPr>
      <w:r>
        <w:rPr>
          <w:rFonts w:ascii="Times New Roman" w:hAnsi="Times New Roman" w:eastAsia="한양신명조"/>
        </w:rPr>
        <w:t>결과는 300 nm 접합 패드의 접촉이 탄성이 아니라 확산 항으로 정해진다는 것을 보여 준다. 탄성 접촉 한계가 약 0.7 µm이므로, 그보다 작은 패드에서 탄성 돌출은 recess를 보정하는 정도에 머문다. 선행연구가 정성적으로 보고한 sub-µm 접촉 문제</w:t>
      </w:r>
      <w:r>
        <w:rPr>
          <w:rFonts w:ascii="Times New Roman" w:hAnsi="Times New Roman" w:eastAsia="한양신명조"/>
          <w:vertAlign w:val="superscript"/>
        </w:rPr>
        <w:t>[2,9]</w:t>
      </w:r>
      <w:r>
        <w:rPr>
          <w:rFonts w:ascii="Times New Roman" w:hAnsi="Times New Roman" w:eastAsia="한양신명조"/>
        </w:rPr>
        <w:t>를 실측으로 학습·테스트한 모델에서 recess와 온도에 따른 규칙으로 정량화한 것이 첫째 기여다.</w:t>
      </w:r>
    </w:p>
    <w:p>
      <w:pPr>
        <w:pStyle w:val="a4"/>
        <w:jc w:val="both"/>
      </w:pPr>
      <w:r>
        <w:rPr>
          <w:rFonts w:ascii="Times New Roman" w:hAnsi="Times New Roman" w:eastAsia="한양신명조"/>
        </w:rPr>
        <w:t>공정 조건은 열예산을 정하는 확산 동역학, 라이너, 표면 상태가 주로 정하고, 패드별 무작위 요인은 수율의 하위 꼬리에 작용한다. 요인의 효과는 시간 배수로는 거의 일정한데, 30분 경계가 2시간보다 많이 움직이는 것은 고온일수록 1 °C당 확산 속도 증가가 작아지는 아레니우스 관계 때문이다. 방위의 탄성 효과는 5 %로 작아, 방위 차이로 recess 사양을 정한 Ayoub</w:t>
      </w:r>
      <w:r>
        <w:rPr>
          <w:rFonts w:ascii="Times New Roman" w:hAnsi="Times New Roman" w:eastAsia="한양신명조"/>
          <w:vertAlign w:val="superscript"/>
        </w:rPr>
        <w:t>[4]</w:t>
      </w:r>
      <w:r>
        <w:rPr>
          <w:rFonts w:ascii="Times New Roman" w:hAnsi="Times New Roman" w:eastAsia="한양신명조"/>
        </w:rPr>
        <w:t>과 달리 방위는 &lt;111&gt; 근방의 확산 꼬리를 통해 작용한다. 열팽창과 표면확산을 결합한 어닐 모델</w:t>
      </w:r>
      <w:r>
        <w:rPr>
          <w:rFonts w:ascii="Times New Roman" w:hAnsi="Times New Roman" w:eastAsia="한양신명조"/>
          <w:vertAlign w:val="superscript"/>
        </w:rPr>
        <w:t>[8]</w:t>
      </w:r>
      <w:r>
        <w:rPr>
          <w:rFonts w:ascii="Times New Roman" w:hAnsi="Times New Roman" w:eastAsia="한양신명조"/>
        </w:rPr>
        <w:t>에 더해, 시험한 불확실성 조합에서 판정이 유지되는 조건과 갈리는 조건, 그리고 최악 방위 기준을 구분한 것이 둘째 기여다.</w:t>
      </w:r>
    </w:p>
    <w:p>
      <w:pPr>
        <w:pStyle w:val="a4"/>
        <w:jc w:val="both"/>
      </w:pPr>
      <w:r>
        <w:rPr>
          <w:rFonts w:ascii="Times New Roman" w:hAnsi="Times New Roman" w:eastAsia="한양신명조"/>
        </w:rPr>
        <w:t>한계는 다음과 같다. 0.54 µm 탄성 오차의 원인은 원 데이터가 없어 알 수 없고, 300 nm 돌출 실측이 없어 300 nm 결과는 예측이다. 확산 항의 적용 범위는 등크기 패드와 250 °C 이상이다. Ayoub 300 nm 변형률</w:t>
      </w:r>
      <w:r>
        <w:rPr>
          <w:rFonts w:ascii="Times New Roman" w:hAnsi="Times New Roman" w:eastAsia="한양신명조"/>
          <w:vertAlign w:val="superscript"/>
        </w:rPr>
        <w:t>[4]</w:t>
      </w:r>
      <w:r>
        <w:rPr>
          <w:rFonts w:ascii="Times New Roman" w:hAnsi="Times New Roman" w:eastAsia="한양신명조"/>
        </w:rPr>
        <w:t>은 크기는 맞으나 부호가 반대이며 원인은 열린 문제다. 공정 조건은 명시한 불확실성 집합 안의 조건부 예측이며, 상·하 방위의 독립성과 확산식 형태까지 검증한 것은 아니다.</w:t>
      </w:r>
    </w:p>
    <w:p>
      <w:pPr>
        <w:pStyle w:val="a4"/>
        <w:jc w:val="both"/>
      </w:pPr>
      <w:r>
        <w:rPr>
          <w:rFonts w:ascii="Times New Roman" w:hAnsi="Times New Roman" w:eastAsia="한양신명조"/>
        </w:rPr>
        <w:t>따라서 300 nm 접합 패드의 어닐 조건은 탄성 돌출이 아니라 확산 동역학과 표면·라이너 상태를 기준으로 정해야 하며, 청정 표면 약 250 °C·2시간 또는 300 °C·30분 이상이 시험한 불확실성 집합에서 접촉 확률 0.99 이상을 유지하는 조건이다. 최악 방위까지 보증하려면 정확히 &lt;111&gt;인 패드의 bulge-out을 측정하는 것이 다음 단계다.</w:t>
      </w:r>
    </w:p>
    <w:p>
      <w:pPr>
        <w:pStyle w:val="a5"/>
      </w:pPr>
      <w:r>
        <w:rPr>
          <w:rFonts w:ascii="Times New Roman" w:hAnsi="Times New Roman" w:eastAsia="한양신명조"/>
        </w:rPr>
        <w:t>REFERENCES</w:t>
      </w:r>
    </w:p>
    <w:p>
      <w:pPr>
        <w:pStyle w:val="af5"/>
      </w:pPr>
      <w:r>
        <w:rPr>
          <w:rFonts w:ascii="Times New Roman" w:hAnsi="Times New Roman" w:eastAsia="한양신명조"/>
        </w:rPr>
        <w:t>[1]</w:t>
      </w:r>
      <w:r>
        <w:rPr>
          <w:rFonts w:ascii="Times New Roman" w:hAnsi="Times New Roman" w:eastAsia="한양신명조"/>
        </w:rPr>
        <w:t xml:space="preserve"> S. Van Huylenbroeck et al., "Wafer-to-wafer hybrid bonding technology with 200nm interconnect pitch," in </w:t>
      </w:r>
      <w:r>
        <w:rPr>
          <w:rFonts w:ascii="Times New Roman" w:hAnsi="Times New Roman" w:eastAsia="한양신명조"/>
          <w:i/>
        </w:rPr>
        <w:t>Proc. IEEE ECTC</w:t>
      </w:r>
      <w:r>
        <w:rPr>
          <w:rFonts w:ascii="Times New Roman" w:hAnsi="Times New Roman" w:eastAsia="한양신명조"/>
        </w:rPr>
        <w:t>, 2026.</w:t>
      </w:r>
    </w:p>
    <w:p>
      <w:pPr>
        <w:pStyle w:val="af5"/>
      </w:pPr>
      <w:r>
        <w:rPr>
          <w:rFonts w:ascii="Times New Roman" w:hAnsi="Times New Roman" w:eastAsia="한양신명조"/>
        </w:rPr>
        <w:t>[2]</w:t>
      </w:r>
      <w:r>
        <w:rPr>
          <w:rFonts w:ascii="Times New Roman" w:hAnsi="Times New Roman" w:eastAsia="한양신명조"/>
        </w:rPr>
        <w:t xml:space="preserve"> J. De Messemaeker et al., "New Cu 'bulge-out' mechanism supporting sub-micron scaling of hybrid wafer-to-wafer bonding," in </w:t>
      </w:r>
      <w:r>
        <w:rPr>
          <w:rFonts w:ascii="Times New Roman" w:hAnsi="Times New Roman" w:eastAsia="한양신명조"/>
          <w:i/>
        </w:rPr>
        <w:t>Proc. IEEE ECTC</w:t>
      </w:r>
      <w:r>
        <w:rPr>
          <w:rFonts w:ascii="Times New Roman" w:hAnsi="Times New Roman" w:eastAsia="한양신명조"/>
        </w:rPr>
        <w:t>, pp. 1042–1049, 2023.</w:t>
      </w:r>
    </w:p>
    <w:p>
      <w:pPr>
        <w:pStyle w:val="af5"/>
      </w:pPr>
      <w:r>
        <w:rPr>
          <w:rFonts w:ascii="Times New Roman" w:hAnsi="Times New Roman" w:eastAsia="한양신명조"/>
        </w:rPr>
        <w:t>[3]</w:t>
      </w:r>
      <w:r>
        <w:rPr>
          <w:rFonts w:ascii="Times New Roman" w:hAnsi="Times New Roman" w:eastAsia="한양신명조"/>
        </w:rPr>
        <w:t xml:space="preserve"> J. De Messemaeker et al., "Understanding scaling and temperature limits in Cu bulge-out mechanism for hybrid wafer-to-wafer bonding," in </w:t>
      </w:r>
      <w:r>
        <w:rPr>
          <w:rFonts w:ascii="Times New Roman" w:hAnsi="Times New Roman" w:eastAsia="한양신명조"/>
          <w:i/>
        </w:rPr>
        <w:t>Proc. IEEE ECTC</w:t>
      </w:r>
      <w:r>
        <w:rPr>
          <w:rFonts w:ascii="Times New Roman" w:hAnsi="Times New Roman" w:eastAsia="한양신명조"/>
        </w:rPr>
        <w:t>, pp. 2158–2162, 2026, doi:10.1109/ECTC51846.2026.00355.</w:t>
      </w:r>
    </w:p>
    <w:p>
      <w:pPr>
        <w:pStyle w:val="af5"/>
      </w:pPr>
      <w:r>
        <w:rPr>
          <w:rFonts w:ascii="Times New Roman" w:hAnsi="Times New Roman" w:eastAsia="한양신명조"/>
        </w:rPr>
        <w:t>[4]</w:t>
      </w:r>
      <w:r>
        <w:rPr>
          <w:rFonts w:ascii="Times New Roman" w:hAnsi="Times New Roman" w:eastAsia="한양신명조"/>
        </w:rPr>
        <w:t xml:space="preserve"> B. Ayoub et al., "In-situ characterization of thermomechanical behavior of copper nano-interconnect for 3D integration," </w:t>
      </w:r>
      <w:r>
        <w:rPr>
          <w:rFonts w:ascii="Times New Roman" w:hAnsi="Times New Roman" w:eastAsia="한양신명조"/>
          <w:i/>
        </w:rPr>
        <w:t>Microelectron. Eng.</w:t>
      </w:r>
      <w:r>
        <w:rPr>
          <w:rFonts w:ascii="Times New Roman" w:hAnsi="Times New Roman" w:eastAsia="한양신명조"/>
        </w:rPr>
        <w:t>, vol. 261, 111809, 2022.</w:t>
      </w:r>
    </w:p>
    <w:p>
      <w:pPr>
        <w:pStyle w:val="af5"/>
      </w:pPr>
      <w:r>
        <w:rPr>
          <w:rFonts w:ascii="Times New Roman" w:hAnsi="Times New Roman" w:eastAsia="한양신명조"/>
        </w:rPr>
        <w:t>[5]</w:t>
      </w:r>
      <w:r>
        <w:rPr>
          <w:rFonts w:ascii="Times New Roman" w:hAnsi="Times New Roman" w:eastAsia="한양신명조"/>
        </w:rPr>
        <w:t xml:space="preserve"> H.-E. Lin et al., "Revealing challenges of downscaling effects on Cu thermal expansion in advanced hybrid bonding using in-situ AFM," </w:t>
      </w:r>
      <w:r>
        <w:rPr>
          <w:rFonts w:ascii="Times New Roman" w:hAnsi="Times New Roman" w:eastAsia="한양신명조"/>
          <w:i/>
        </w:rPr>
        <w:t>Appl. Surf. Sci.</w:t>
      </w:r>
      <w:r>
        <w:rPr>
          <w:rFonts w:ascii="Times New Roman" w:hAnsi="Times New Roman" w:eastAsia="한양신명조"/>
        </w:rPr>
        <w:t>, vol. 689, 162539, 2025.</w:t>
      </w:r>
    </w:p>
    <w:p>
      <w:pPr>
        <w:pStyle w:val="af5"/>
      </w:pPr>
      <w:r>
        <w:rPr>
          <w:rFonts w:ascii="Times New Roman" w:hAnsi="Times New Roman" w:eastAsia="한양신명조"/>
        </w:rPr>
        <w:t>[6]</w:t>
      </w:r>
      <w:r>
        <w:rPr>
          <w:rFonts w:ascii="Times New Roman" w:hAnsi="Times New Roman" w:eastAsia="한양신명조"/>
        </w:rPr>
        <w:t xml:space="preserve"> P.-L. Chen and C. Chen, "Effect of dimension on thermal expansion of Cu pads in SiO</w:t>
      </w:r>
      <w:r>
        <w:rPr>
          <w:rFonts w:ascii="Times New Roman" w:hAnsi="Times New Roman" w:eastAsia="한양신명조"/>
          <w:vertAlign w:val="subscript"/>
        </w:rPr>
        <w:t>2</w:t>
      </w:r>
      <w:r>
        <w:rPr>
          <w:rFonts w:ascii="Times New Roman" w:hAnsi="Times New Roman" w:eastAsia="한양신명조"/>
        </w:rPr>
        <w:t xml:space="preserve"> vias for 3D IC fine-pitch hybrid bonding," in </w:t>
      </w:r>
      <w:r>
        <w:rPr>
          <w:rFonts w:ascii="Times New Roman" w:hAnsi="Times New Roman" w:eastAsia="한양신명조"/>
          <w:i/>
        </w:rPr>
        <w:t>Proc. IEEE 75th Electron. Compon. Technol. Conf. (ECTC)</w:t>
      </w:r>
      <w:r>
        <w:rPr>
          <w:rFonts w:ascii="Times New Roman" w:hAnsi="Times New Roman" w:eastAsia="한양신명조"/>
        </w:rPr>
        <w:t>, Dallas, TX, USA, May 2025, doi:10.1109/ECTC51687.2025.00329.</w:t>
      </w:r>
    </w:p>
    <w:p>
      <w:pPr>
        <w:pStyle w:val="af5"/>
      </w:pPr>
      <w:r>
        <w:rPr>
          <w:rFonts w:ascii="Times New Roman" w:hAnsi="Times New Roman" w:eastAsia="한양신명조"/>
        </w:rPr>
        <w:t>[7]</w:t>
      </w:r>
      <w:r>
        <w:rPr>
          <w:rFonts w:ascii="Times New Roman" w:hAnsi="Times New Roman" w:eastAsia="한양신명조"/>
        </w:rPr>
        <w:t xml:space="preserve"> J. De Messemaeker et al., "Simulation of bulge-out mechanism enabling sub-0.5 µm scaling of hybrid wafer-to-wafer bonding," in </w:t>
      </w:r>
      <w:r>
        <w:rPr>
          <w:rFonts w:ascii="Times New Roman" w:hAnsi="Times New Roman" w:eastAsia="한양신명조"/>
          <w:i/>
        </w:rPr>
        <w:t>Proc. IEEE ECTC</w:t>
      </w:r>
      <w:r>
        <w:rPr>
          <w:rFonts w:ascii="Times New Roman" w:hAnsi="Times New Roman" w:eastAsia="한양신명조"/>
        </w:rPr>
        <w:t>, 2024.</w:t>
      </w:r>
    </w:p>
    <w:p>
      <w:pPr>
        <w:pStyle w:val="af5"/>
      </w:pPr>
      <w:r>
        <w:rPr>
          <w:rFonts w:ascii="Times New Roman" w:hAnsi="Times New Roman" w:eastAsia="한양신명조"/>
        </w:rPr>
        <w:t>[8]</w:t>
      </w:r>
      <w:r>
        <w:rPr>
          <w:rFonts w:ascii="Times New Roman" w:hAnsi="Times New Roman" w:eastAsia="한양신명조"/>
        </w:rPr>
        <w:t xml:space="preserve"> J. Hooge, C. Jois, C. Netzband, and I. Son, "Modeling of copper hybrid bonding anneal," in </w:t>
      </w:r>
      <w:r>
        <w:rPr>
          <w:rFonts w:ascii="Times New Roman" w:hAnsi="Times New Roman" w:eastAsia="한양신명조"/>
          <w:i/>
        </w:rPr>
        <w:t>Proc. IEEE 74th Electron. Compon. Technol. Conf. (ECTC)</w:t>
      </w:r>
      <w:r>
        <w:rPr>
          <w:rFonts w:ascii="Times New Roman" w:hAnsi="Times New Roman" w:eastAsia="한양신명조"/>
        </w:rPr>
        <w:t>, Denver, CO, USA, May 2024, pp. 1231–1235.</w:t>
      </w:r>
    </w:p>
    <w:p>
      <w:pPr>
        <w:pStyle w:val="af5"/>
      </w:pPr>
      <w:r>
        <w:rPr>
          <w:rFonts w:ascii="Times New Roman" w:hAnsi="Times New Roman" w:eastAsia="한양신명조"/>
        </w:rPr>
        <w:t>[9]</w:t>
      </w:r>
      <w:r>
        <w:rPr>
          <w:rFonts w:ascii="Times New Roman" w:hAnsi="Times New Roman" w:eastAsia="한양신명조"/>
        </w:rPr>
        <w:t xml:space="preserve"> S. Van Huylenbroeck et al., "Wafer to wafer hybrid bonding pitch scaling challenges (Invited)," in </w:t>
      </w:r>
      <w:r>
        <w:rPr>
          <w:rFonts w:ascii="Times New Roman" w:hAnsi="Times New Roman" w:eastAsia="한양신명조"/>
          <w:i/>
        </w:rPr>
        <w:t>Proc. IEEE Int. Reliab. Phys. Symp. (IRPS)</w:t>
      </w:r>
      <w:r>
        <w:rPr>
          <w:rFonts w:ascii="Times New Roman" w:hAnsi="Times New Roman" w:eastAsia="한양신명조"/>
        </w:rPr>
        <w:t>, Tucson, AZ, USA, Mar. 2026, doi:10.1109/IRPS61424.2026.11499286.</w:t>
      </w:r>
    </w:p>
    <w:sectPr w:rsidR="00A77F1A">
      <w:type w:val="continuous"/>
      <w:headerReference w:type="default" r:id="rId10"/>
      <w:footerReference w:type="default" r:id="rId11"/>
      <w:footnotePr>
        <w:numFmt w:val="lowerRoman"/>
        <w:numRestart w:val="eachPage"/>
      </w:footnotePr>
      <w:endnotePr>
        <w:numFmt w:val="decimal"/>
      </w:endnotePr>
      <w:pgSz w:w="11906" w:h="16838"/>
      <w:pgMar w:top="1984" w:right="1135" w:bottom="1138" w:left="1134" w:header="1134" w:footer="571" w:gutter="0"/>
      <w:cols w:num="2" w:space="51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58E3" w:rsidRDefault="00CF58E3">
      <w:pPr>
        <w:spacing w:after="0" w:line="240" w:lineRule="auto"/>
      </w:pPr>
      <w:r>
        <w:separator/>
      </w:r>
    </w:p>
  </w:endnote>
  <w:endnote w:type="continuationSeparator" w:id="0">
    <w:p w:rsidR="00CF58E3" w:rsidRDefault="00CF5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한양신명조">
    <w:altName w:val="바탕"/>
    <w:panose1 w:val="00000000000000000000"/>
    <w:charset w:val="81"/>
    <w:family w:val="roman"/>
    <w:notTrueType/>
    <w:pitch w:val="default"/>
  </w:font>
  <w:font w:name="HY중고딕">
    <w:panose1 w:val="02030600000101010101"/>
    <w:charset w:val="81"/>
    <w:family w:val="roman"/>
    <w:pitch w:val="variable"/>
    <w:sig w:usb0="900002A7" w:usb1="29D77CF9" w:usb2="00000010" w:usb3="00000000" w:csb0="00080000" w:csb1="00000000"/>
  </w:font>
  <w:font w:name="한양중고딕">
    <w:altName w:val="바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한양견고딕">
    <w:panose1 w:val="00000000000000000000"/>
    <w:charset w:val="81"/>
    <w:family w:val="roman"/>
    <w:notTrueType/>
    <w:pitch w:val="default"/>
  </w:font>
  <w:font w:name="한양견명조">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F1A" w:rsidRDefault="00A77F1A">
    <w:pPr>
      <w:pStyle w:val="a3"/>
      <w:wordWrap/>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58E3" w:rsidRDefault="00CF58E3">
      <w:pPr>
        <w:spacing w:after="0" w:line="240" w:lineRule="auto"/>
      </w:pPr>
      <w:r>
        <w:separator/>
      </w:r>
    </w:p>
  </w:footnote>
  <w:footnote w:type="continuationSeparator" w:id="0">
    <w:p w:rsidR="00CF58E3" w:rsidRDefault="00CF58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F1A" w:rsidRDefault="00CF58E3">
    <w:pPr>
      <w:pStyle w:val="af"/>
      <w:tabs>
        <w:tab w:val="center" w:pos="5150"/>
        <w:tab w:val="right" w:pos="10150"/>
      </w:tabs>
      <w:jc w:val="right"/>
    </w:pPr>
    <w:r>
      <w:fldChar w:fldCharType="begin"/>
    </w:r>
    <w:r>
      <w:instrText>PAGE  \* ARABIC</w:instrText>
    </w:r>
    <w:r>
      <w:fldChar w:fldCharType="separate"/>
    </w:r>
    <w:r w:rsidR="00451151">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numFmt w:val="lowerRoman"/>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77F1A"/>
    <w:rsid w:val="00451151"/>
    <w:rsid w:val="00A77F1A"/>
    <w:rsid w:val="00CF58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textAlignment w:val="baseline"/>
    </w:pPr>
    <w:rPr>
      <w:rFonts w:ascii="한양신명조" w:eastAsia="한양신명조"/>
      <w:color w:val="000000"/>
      <w:spacing w:val="-5"/>
      <w:w w:val="95"/>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firstLine="200"/>
      <w:textAlignment w:val="baseline"/>
    </w:pPr>
    <w:rPr>
      <w:rFonts w:ascii="한양신명조" w:eastAsia="한양신명조"/>
      <w:color w:val="000000"/>
      <w:spacing w:val="-5"/>
      <w:w w:val="95"/>
    </w:rPr>
  </w:style>
  <w:style w:type="paragraph" w:customStyle="1" w:styleId="a5">
    <w:name w:val="각 장 제목"/>
    <w:uiPriority w:val="2"/>
    <w:pPr>
      <w:widowControl w:val="0"/>
      <w:pBdr>
        <w:top w:val="none" w:sz="2" w:space="0" w:color="000000"/>
        <w:left w:val="none" w:sz="2" w:space="0" w:color="000000"/>
        <w:bottom w:val="none" w:sz="2" w:space="0" w:color="000000"/>
        <w:right w:val="none" w:sz="2" w:space="0" w:color="000000"/>
      </w:pBdr>
      <w:autoSpaceDE w:val="0"/>
      <w:autoSpaceDN w:val="0"/>
      <w:snapToGrid w:val="0"/>
      <w:spacing w:after="300" w:line="384" w:lineRule="auto"/>
      <w:jc w:val="center"/>
      <w:textAlignment w:val="baseline"/>
    </w:pPr>
    <w:rPr>
      <w:rFonts w:ascii="HY중고딕" w:eastAsia="HY중고딕"/>
      <w:b/>
      <w:color w:val="000000"/>
      <w:spacing w:val="-11"/>
      <w:sz w:val="22"/>
    </w:rPr>
  </w:style>
  <w:style w:type="paragraph" w:customStyle="1" w:styleId="a6">
    <w:name w:val="각 절 제목"/>
    <w:uiPriority w:val="3"/>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ind w:firstLine="200"/>
      <w:textAlignment w:val="baseline"/>
    </w:pPr>
    <w:rPr>
      <w:rFonts w:ascii="HY중고딕" w:eastAsia="HY중고딕"/>
      <w:color w:val="000000"/>
      <w:spacing w:val="-5"/>
      <w:w w:val="95"/>
      <w:sz w:val="22"/>
    </w:rPr>
  </w:style>
  <w:style w:type="paragraph" w:customStyle="1" w:styleId="a7">
    <w:name w:val="각 항 제목"/>
    <w:uiPriority w:val="4"/>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ind w:firstLine="200"/>
      <w:textAlignment w:val="baseline"/>
    </w:pPr>
    <w:rPr>
      <w:rFonts w:ascii="HY중고딕" w:eastAsia="HY중고딕"/>
      <w:color w:val="000000"/>
      <w:spacing w:val="-5"/>
      <w:w w:val="95"/>
    </w:rPr>
  </w:style>
  <w:style w:type="paragraph" w:customStyle="1" w:styleId="a8">
    <w:name w:val="그림/표 제목"/>
    <w:uiPriority w:val="5"/>
    <w:pPr>
      <w:widowControl w:val="0"/>
      <w:pBdr>
        <w:top w:val="none" w:sz="2" w:space="0" w:color="000000"/>
        <w:left w:val="none" w:sz="2" w:space="0" w:color="000000"/>
        <w:bottom w:val="none" w:sz="2" w:space="0" w:color="000000"/>
        <w:right w:val="none" w:sz="2" w:space="0" w:color="000000"/>
      </w:pBdr>
      <w:tabs>
        <w:tab w:val="left" w:pos="408"/>
        <w:tab w:val="left" w:pos="686"/>
        <w:tab w:val="left" w:pos="756"/>
      </w:tabs>
      <w:wordWrap w:val="0"/>
      <w:autoSpaceDE w:val="0"/>
      <w:autoSpaceDN w:val="0"/>
      <w:snapToGrid w:val="0"/>
      <w:spacing w:after="0" w:line="312" w:lineRule="auto"/>
      <w:ind w:left="680" w:hanging="680"/>
      <w:textAlignment w:val="baseline"/>
    </w:pPr>
    <w:rPr>
      <w:rFonts w:ascii="한양중고딕" w:eastAsia="한양중고딕"/>
      <w:color w:val="000000"/>
      <w:spacing w:val="-5"/>
      <w:w w:val="95"/>
    </w:rPr>
  </w:style>
  <w:style w:type="paragraph" w:customStyle="1" w:styleId="a9">
    <w:name w:val="한글제목"/>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before="360" w:after="160" w:line="384" w:lineRule="auto"/>
      <w:jc w:val="center"/>
      <w:textAlignment w:val="baseline"/>
    </w:pPr>
    <w:rPr>
      <w:rFonts w:ascii="한양신명조" w:eastAsia="한양신명조"/>
      <w:color w:val="000000"/>
      <w:spacing w:val="-20"/>
      <w:w w:val="90"/>
      <w:sz w:val="40"/>
    </w:rPr>
  </w:style>
  <w:style w:type="paragraph" w:customStyle="1" w:styleId="aa">
    <w:name w:val="영문제목"/>
    <w:uiPriority w:val="7"/>
    <w:pPr>
      <w:widowControl w:val="0"/>
      <w:pBdr>
        <w:top w:val="none" w:sz="2" w:space="0" w:color="000000"/>
        <w:left w:val="none" w:sz="2" w:space="0" w:color="000000"/>
        <w:bottom w:val="none" w:sz="2" w:space="0" w:color="000000"/>
        <w:right w:val="none" w:sz="2" w:space="0" w:color="000000"/>
      </w:pBdr>
      <w:autoSpaceDE w:val="0"/>
      <w:autoSpaceDN w:val="0"/>
      <w:snapToGrid w:val="0"/>
      <w:spacing w:after="280" w:line="312" w:lineRule="auto"/>
      <w:ind w:left="200" w:right="200"/>
      <w:jc w:val="center"/>
      <w:textAlignment w:val="baseline"/>
    </w:pPr>
    <w:rPr>
      <w:rFonts w:ascii="한양신명조" w:eastAsia="한양신명조"/>
      <w:color w:val="000000"/>
      <w:w w:val="90"/>
      <w:sz w:val="30"/>
    </w:rPr>
  </w:style>
  <w:style w:type="paragraph" w:customStyle="1" w:styleId="ab">
    <w:name w:val="한글저자"/>
    <w:uiPriority w:val="8"/>
    <w:pPr>
      <w:widowControl w:val="0"/>
      <w:pBdr>
        <w:top w:val="none" w:sz="2" w:space="0" w:color="000000"/>
        <w:left w:val="none" w:sz="2" w:space="0" w:color="000000"/>
        <w:bottom w:val="none" w:sz="2" w:space="0" w:color="000000"/>
        <w:right w:val="none" w:sz="2" w:space="0" w:color="000000"/>
      </w:pBdr>
      <w:autoSpaceDE w:val="0"/>
      <w:autoSpaceDN w:val="0"/>
      <w:snapToGrid w:val="0"/>
      <w:spacing w:after="160" w:line="408" w:lineRule="auto"/>
      <w:jc w:val="center"/>
      <w:textAlignment w:val="baseline"/>
    </w:pPr>
    <w:rPr>
      <w:rFonts w:ascii="한양신명조" w:eastAsia="한양신명조"/>
      <w:color w:val="000000"/>
      <w:sz w:val="24"/>
    </w:rPr>
  </w:style>
  <w:style w:type="paragraph" w:customStyle="1" w:styleId="ac">
    <w:name w:val="영문저자"/>
    <w:uiPriority w:val="9"/>
    <w:pPr>
      <w:widowControl w:val="0"/>
      <w:pBdr>
        <w:top w:val="none" w:sz="2" w:space="0" w:color="000000"/>
        <w:left w:val="none" w:sz="2" w:space="0" w:color="000000"/>
        <w:bottom w:val="none" w:sz="2" w:space="0" w:color="000000"/>
        <w:right w:val="none" w:sz="2" w:space="0" w:color="000000"/>
      </w:pBdr>
      <w:autoSpaceDE w:val="0"/>
      <w:autoSpaceDN w:val="0"/>
      <w:snapToGrid w:val="0"/>
      <w:spacing w:after="280" w:line="408" w:lineRule="auto"/>
      <w:jc w:val="center"/>
      <w:textAlignment w:val="baseline"/>
    </w:pPr>
    <w:rPr>
      <w:rFonts w:ascii="한양신명조" w:eastAsia="한양신명조"/>
      <w:color w:val="000000"/>
      <w:spacing w:val="-11"/>
      <w:sz w:val="22"/>
    </w:rPr>
  </w:style>
  <w:style w:type="paragraph" w:customStyle="1" w:styleId="ad">
    <w:name w:val="요약"/>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140" w:line="408" w:lineRule="auto"/>
      <w:jc w:val="center"/>
      <w:textAlignment w:val="baseline"/>
    </w:pPr>
    <w:rPr>
      <w:rFonts w:ascii="한양중고딕" w:eastAsia="한양중고딕"/>
      <w:color w:val="000000"/>
    </w:rPr>
  </w:style>
  <w:style w:type="paragraph" w:customStyle="1" w:styleId="ae">
    <w:name w:val="요약본문"/>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320" w:line="312" w:lineRule="auto"/>
      <w:ind w:left="340" w:right="340" w:firstLine="200"/>
      <w:textAlignment w:val="baseline"/>
    </w:pPr>
    <w:rPr>
      <w:rFonts w:ascii="한양신명조" w:eastAsia="한양신명조"/>
      <w:color w:val="000000"/>
      <w:spacing w:val="-4"/>
      <w:w w:val="95"/>
      <w:sz w:val="18"/>
    </w:rPr>
  </w:style>
  <w:style w:type="paragraph" w:customStyle="1" w:styleId="Abstract">
    <w:name w:val="Abstract"/>
    <w:uiPriority w:val="12"/>
    <w:pPr>
      <w:widowControl w:val="0"/>
      <w:pBdr>
        <w:top w:val="none" w:sz="2" w:space="0" w:color="000000"/>
        <w:left w:val="none" w:sz="2" w:space="0" w:color="000000"/>
        <w:bottom w:val="none" w:sz="2" w:space="0" w:color="000000"/>
        <w:right w:val="none" w:sz="2" w:space="0" w:color="000000"/>
      </w:pBdr>
      <w:autoSpaceDE w:val="0"/>
      <w:autoSpaceDN w:val="0"/>
      <w:snapToGrid w:val="0"/>
      <w:spacing w:after="140" w:line="408" w:lineRule="auto"/>
      <w:ind w:left="500" w:right="500"/>
      <w:jc w:val="center"/>
      <w:textAlignment w:val="baseline"/>
    </w:pPr>
    <w:rPr>
      <w:rFonts w:ascii="바탕" w:eastAsia="바탕"/>
      <w:b/>
      <w:color w:val="000000"/>
    </w:rPr>
  </w:style>
  <w:style w:type="paragraph" w:customStyle="1" w:styleId="af">
    <w:name w:val="머릿말"/>
    <w:uiPriority w:val="13"/>
    <w:pPr>
      <w:widowControl w:val="0"/>
      <w:pBdr>
        <w:top w:val="none" w:sz="2" w:space="0" w:color="000000"/>
        <w:left w:val="none" w:sz="2" w:space="0" w:color="000000"/>
        <w:bottom w:val="none" w:sz="2" w:space="0" w:color="000000"/>
        <w:right w:val="none" w:sz="2" w:space="0" w:color="000000"/>
      </w:pBdr>
      <w:tabs>
        <w:tab w:val="center" w:pos="3972"/>
        <w:tab w:val="right" w:pos="8568"/>
      </w:tabs>
      <w:autoSpaceDE w:val="0"/>
      <w:autoSpaceDN w:val="0"/>
      <w:snapToGrid w:val="0"/>
      <w:spacing w:after="0" w:line="312" w:lineRule="auto"/>
      <w:jc w:val="center"/>
      <w:textAlignment w:val="baseline"/>
    </w:pPr>
    <w:rPr>
      <w:rFonts w:ascii="HY중고딕" w:eastAsia="HY중고딕"/>
      <w:color w:val="000000"/>
      <w:w w:val="90"/>
      <w:sz w:val="18"/>
    </w:rPr>
  </w:style>
  <w:style w:type="paragraph" w:customStyle="1" w:styleId="af0">
    <w:name w:val="꼬리말"/>
    <w:uiPriority w:val="1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한양중고딕" w:eastAsia="한양중고딕"/>
      <w:color w:val="000000"/>
      <w:spacing w:val="4"/>
      <w:w w:val="90"/>
      <w:sz w:val="16"/>
    </w:rPr>
  </w:style>
  <w:style w:type="paragraph" w:customStyle="1" w:styleId="af1">
    <w:name w:val="쪽 번호"/>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견고딕" w:eastAsia="한양견고딕"/>
      <w:color w:val="000000"/>
    </w:rPr>
  </w:style>
  <w:style w:type="paragraph" w:customStyle="1" w:styleId="af2">
    <w:name w:val="각주내용"/>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sz w:val="18"/>
    </w:rPr>
  </w:style>
  <w:style w:type="paragraph" w:customStyle="1" w:styleId="af3">
    <w:name w:val="논문번호"/>
    <w:uiPriority w:val="17"/>
    <w:pPr>
      <w:widowControl w:val="0"/>
      <w:pBdr>
        <w:top w:val="none" w:sz="2" w:space="0" w:color="000000"/>
        <w:left w:val="none" w:sz="2" w:space="0" w:color="000000"/>
        <w:bottom w:val="none" w:sz="2" w:space="0" w:color="000000"/>
        <w:right w:val="none" w:sz="2" w:space="0" w:color="000000"/>
      </w:pBdr>
      <w:tabs>
        <w:tab w:val="left" w:pos="577"/>
      </w:tabs>
      <w:autoSpaceDE w:val="0"/>
      <w:autoSpaceDN w:val="0"/>
      <w:snapToGrid w:val="0"/>
      <w:spacing w:line="240" w:lineRule="auto"/>
      <w:jc w:val="left"/>
      <w:textAlignment w:val="baseline"/>
    </w:pPr>
    <w:rPr>
      <w:rFonts w:ascii="HY중고딕" w:eastAsia="HY중고딕"/>
      <w:color w:val="000000"/>
      <w:spacing w:val="5"/>
      <w:w w:val="95"/>
    </w:rPr>
  </w:style>
  <w:style w:type="character" w:customStyle="1" w:styleId="Keywords">
    <w:name w:val="Keywords제목"/>
    <w:uiPriority w:val="18"/>
    <w:rPr>
      <w:rFonts w:ascii="한양견명조" w:eastAsia="한양견명조"/>
      <w:color w:val="000000"/>
      <w:w w:val="95"/>
      <w:sz w:val="18"/>
    </w:rPr>
  </w:style>
  <w:style w:type="character" w:customStyle="1" w:styleId="Keywords0">
    <w:name w:val="Keywords내용"/>
    <w:uiPriority w:val="19"/>
    <w:rPr>
      <w:rFonts w:ascii="한양신명조" w:eastAsia="한양신명조"/>
      <w:color w:val="000000"/>
      <w:w w:val="95"/>
      <w:sz w:val="18"/>
    </w:rPr>
  </w:style>
  <w:style w:type="character" w:customStyle="1" w:styleId="af4">
    <w:name w:val="참고문헌번호"/>
    <w:uiPriority w:val="20"/>
    <w:rPr>
      <w:rFonts w:ascii="돋움" w:eastAsia="돋움"/>
      <w:color w:val="000000"/>
      <w:sz w:val="18"/>
      <w:vertAlign w:val="superscript"/>
    </w:rPr>
  </w:style>
  <w:style w:type="paragraph" w:customStyle="1" w:styleId="af5">
    <w:name w:val="참고문헌내용"/>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360" w:hanging="360"/>
      <w:textAlignment w:val="baseline"/>
    </w:pPr>
    <w:rPr>
      <w:rFonts w:ascii="한양신명조" w:eastAsia="한양신명조"/>
      <w:color w:val="000000"/>
      <w:spacing w:val="-5"/>
      <w:w w:val="95"/>
    </w:rPr>
  </w:style>
  <w:style w:type="character" w:customStyle="1" w:styleId="-">
    <w:name w:val="저자소개-이름"/>
    <w:uiPriority w:val="22"/>
    <w:rPr>
      <w:rFonts w:ascii="한양중고딕" w:eastAsia="한양중고딕"/>
      <w:color w:val="000000"/>
      <w:sz w:val="22"/>
    </w:rPr>
  </w:style>
  <w:style w:type="paragraph" w:customStyle="1" w:styleId="-0">
    <w:name w:val="저자소개-약력"/>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rPr>
  </w:style>
  <w:style w:type="paragraph" w:customStyle="1" w:styleId="af6">
    <w:name w:val="수식번호"/>
    <w:uiPriority w:val="24"/>
    <w:pPr>
      <w:widowControl w:val="0"/>
      <w:pBdr>
        <w:top w:val="none" w:sz="2" w:space="0" w:color="000000"/>
        <w:left w:val="none" w:sz="2" w:space="0" w:color="000000"/>
        <w:bottom w:val="none" w:sz="2" w:space="0" w:color="000000"/>
        <w:right w:val="none" w:sz="2" w:space="0" w:color="000000"/>
      </w:pBdr>
      <w:tabs>
        <w:tab w:val="left" w:pos="408"/>
        <w:tab w:val="left" w:pos="686"/>
        <w:tab w:val="left" w:pos="756"/>
      </w:tabs>
      <w:wordWrap w:val="0"/>
      <w:autoSpaceDE w:val="0"/>
      <w:autoSpaceDN w:val="0"/>
      <w:snapToGrid w:val="0"/>
      <w:spacing w:after="0" w:line="384" w:lineRule="auto"/>
      <w:textAlignment w:val="baseline"/>
    </w:pPr>
    <w:rPr>
      <w:rFonts w:ascii="한양신명조" w:eastAsia="한양신명조"/>
      <w:color w:val="000000"/>
      <w:spacing w:val="-5"/>
      <w:w w:val="95"/>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347</Words>
  <Characters>1984</Characters>
  <Application>Microsoft Office Word</Application>
  <DocSecurity>0</DocSecurity>
  <Lines>16</Lines>
  <Paragraphs>4</Paragraphs>
  <ScaleCrop>false</ScaleCrop>
  <Company/>
  <LinksUpToDate>false</LinksUpToDate>
  <CharactersWithSpaces>2327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lastModifiedBy/>
  <cp:revision>2</cp:revision>
  <dcterms:created xsi:type="dcterms:W3CDTF">2002-02-07T08:08:00Z</dcterms:created>
  <dcterms:modified xsi:type="dcterms:W3CDTF">2021-07-30T01:40:00Z</dcterms:modified>
  <cp:keywords/>
  <dc:description/>
  <cp:category/>
</cp:coreProperties>
</file>