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4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45"/>
      </w:tblGrid>
      <w:tr w:rsidR="00A77F1A">
        <w:trPr>
          <w:trHeight w:val="9717"/>
        </w:trPr>
        <w:tc>
          <w:tcPr>
            <w:tcW w:w="964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:rsidR="00A77F1A" w:rsidRDefault="00CF58E3">
            <w:pPr>
              <w:pStyle w:val="af3"/>
            </w:pPr>
            <w:bookmarkStart w:id="0" w:name="_top"/>
            <w:bookmarkEnd w:id="0"/>
            <w:r>
              <w:rPr>
                <w:rFonts w:ascii="Times New Roman" w:hAnsi="Times New Roman" w:eastAsia="한양신명조"/>
              </w:rPr>
              <w:t>학부생 논문경진대회 서면 심사용</w:t>
            </w:r>
          </w:p>
          <w:p w:rsidR="00A77F1A" w:rsidRDefault="00CF58E3">
            <w:pPr>
              <w:pStyle w:val="a9"/>
            </w:pPr>
            <w:r>
              <w:rPr>
                <w:rFonts w:ascii="Times New Roman" w:hAnsi="Times New Roman" w:eastAsia="한양신명조"/>
              </w:rPr>
              <w:t>서브마이크론 Cu 하이브리드 본딩 패드의 접촉 기구 전환과 300 nm 공정창 예측: 사전등록 검증 기반 열탄성–표면확산 모델</w:t>
            </w:r>
          </w:p>
          <w:p w:rsidR="00A77F1A" w:rsidRDefault="00CF58E3">
            <w:pPr>
              <w:pStyle w:val="aa"/>
            </w:pPr>
            <w:r>
              <w:rPr>
                <w:rFonts w:ascii="Times New Roman" w:hAnsi="Times New Roman" w:eastAsia="한양신명조"/>
              </w:rPr>
              <w:t>(Mechanism Transition and 300 nm Process-Window Prediction for Sub-Micron Cu Hybrid-Bonding Pads: A Pre-Registered Thermo-Elastic/Surface-Diffusion Model)</w:t>
            </w:r>
          </w:p>
          <w:p w:rsidR="00A77F1A" w:rsidRDefault="00CF58E3">
            <w:pPr>
              <w:pStyle w:val="ad"/>
            </w:pPr>
            <w:proofErr w:type="gramStart"/>
            <w:r>
              <w:t>요</w:t>
            </w:r>
            <w:r>
              <w:t xml:space="preserve">  </w:t>
            </w:r>
            <w:r>
              <w:t>약</w:t>
            </w:r>
            <w:proofErr w:type="gramEnd"/>
          </w:p>
          <w:p w:rsidR="00A77F1A" w:rsidRDefault="00CF58E3">
            <w:pPr>
              <w:pStyle w:val="ae"/>
            </w:pPr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rFonts w:ascii="Times New Roman" w:hAnsi="Times New Roman" w:eastAsia="한양신명조"/>
              </w:rPr>
              <w:t>패드 피치가 1 µm 아래로 줄면 Cu 열탄성 팽창만으로는 CMP recess를 닫지 못한다. 문헌 물성 열탄성 FEM과 표면확산 bulge-out 식을 결합한 모델을 세 연구그룹 실측으로 사전등록 시험한 결과, 접촉 기구는 recess 합 5 nm에서 약 0.7 µm를 경계로 표면확산으로 넘어가고 방위 효과는 확산 항으로 들어온다. 300 nm 패드의 공정창, recess 허용 합 7.5–11.5 nm, 미접촉 쌍 하한을 불확실도와 함께 예측하였다.</w:t>
            </w:r>
          </w:p>
          <w:p w:rsidR="00A77F1A" w:rsidRDefault="00CF58E3">
            <w:pPr>
              <w:pStyle w:val="Abstract"/>
            </w:pPr>
            <w:r>
              <w:t>Abstract</w:t>
            </w:r>
          </w:p>
          <w:p w:rsidR="00A77F1A" w:rsidRDefault="00CF58E3">
            <w:pPr>
              <w:pStyle w:val="ae"/>
            </w:pPr>
            <w:r>
              <w:rPr>
                <w:rFonts w:ascii="Times New Roman" w:hAnsi="Times New Roman" w:eastAsia="한양신명조"/>
              </w:rPr>
              <w:t>Below 1 µm pitch, thermo-elastic expansion of Cu pads cannot close the CMP recess. A thermo-elastic FEM built from literature properties was combined with a surface-diffusion bulge-out term and tested, with pre-registered rules, against measurements of three research groups. The contact mechanism changes from thermo-elastic to surface diffusion at about 0.7 µm for a 5 nm recess sum, and below it the crystal orientation acts through the diffusion term rather than the elastic term. For 300 nm pads the model predicts a process window, an allowable recess sum of 7.5–11.5 nm and an open-pair floor, with uncertainty.</w:t>
            </w:r>
          </w:p>
          <w:p w:rsidR="00A77F1A" w:rsidRDefault="00CF58E3">
            <w:pPr>
              <w:pStyle w:val="a3"/>
            </w:pPr>
            <w:proofErr w:type="gramStart"/>
            <w:proofErr w:type="gramEnd"/>
            <w:proofErr w:type="gramStart"/>
            <w:proofErr w:type="gramEnd"/>
            <w:r>
              <w:rPr>
                <w:rFonts w:ascii="Times New Roman" w:hAnsi="Times New Roman" w:eastAsia="한양신명조"/>
              </w:rPr>
              <w:t xml:space="preserve">      Keywords : Hybrid bonding, Cu bulge-out, surface diffusion, pre-registration, process window</w:t>
            </w:r>
          </w:p>
        </w:tc>
      </w:tr>
    </w:tbl>
    <w:p>
      <w:pPr>
        <w:sectPr w:rsidR="00A77F1A">
          <w:headerReference w:type="default" r:id="rId10"/>
          <w:footerReference w:type="default" r:id="rId11"/>
          <w:footnotePr>
            <w:numFmt w:val="lowerRoman"/>
            <w:numRestart w:val="eachPage"/>
          </w:footnotePr>
          <w:endnotePr>
            <w:numFmt w:val="decimal"/>
          </w:endnotePr>
          <w:pgSz w:w="11906" w:h="16838"/>
          <w:pgMar w:top="1984" w:right="1135" w:bottom="1138" w:left="1134" w:header="1134" w:footer="571" w:gutter="0"/>
          <w:cols w:space="425"/>
        </w:sectPr>
      </w:pPr>
    </w:p>
    <w:p>
      <w:pPr>
        <w:pStyle w:val="a5"/>
      </w:pPr>
      <w:r>
        <w:rPr>
          <w:rFonts w:ascii="Times New Roman" w:hAnsi="Times New Roman" w:eastAsia="한양신명조"/>
        </w:rPr>
        <w:t>Ⅰ. 서  론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웨이퍼 간 Cu/SiCN 하이브리드 본딩은 200 nm 피치까지 수율이 보고되었다</w:t>
      </w:r>
      <w:r>
        <w:rPr>
          <w:rFonts w:ascii="Times New Roman" w:hAnsi="Times New Roman" w:eastAsia="한양신명조"/>
          <w:vertAlign w:val="superscript"/>
        </w:rPr>
        <w:t>[1]</w:t>
      </w:r>
      <w:r>
        <w:rPr>
          <w:rFonts w:ascii="Times New Roman" w:hAnsi="Times New Roman" w:eastAsia="한양신명조"/>
        </w:rPr>
        <w:t>. 이 영역에서 어닐 중 Cu 패드의 열탄성 돌출 u는 패드당 1 nm 이하로 작아지고, 상·하 패드의 접촉은 표면확산 bulge-out h</w:t>
      </w:r>
      <w:r>
        <w:rPr>
          <w:rFonts w:ascii="Times New Roman" w:hAnsi="Times New Roman" w:eastAsia="한양신명조"/>
          <w:vertAlign w:val="subscript"/>
        </w:rPr>
        <w:t>d</w:t>
      </w:r>
      <w:r>
        <w:rPr>
          <w:rFonts w:ascii="Times New Roman" w:hAnsi="Times New Roman" w:eastAsia="한양신명조"/>
        </w:rPr>
        <w:t>가 만든다</w:t>
      </w:r>
      <w:r>
        <w:rPr>
          <w:rFonts w:ascii="Times New Roman" w:hAnsi="Times New Roman" w:eastAsia="한양신명조"/>
          <w:vertAlign w:val="superscript"/>
        </w:rPr>
        <w:t>[2,3]</w:t>
      </w:r>
      <w:r>
        <w:rPr>
          <w:rFonts w:ascii="Times New Roman" w:hAnsi="Times New Roman" w:eastAsia="한양신명조"/>
        </w:rPr>
        <w:t>. 본 논문은 접촉 여유 m = u</w:t>
      </w:r>
      <w:r>
        <w:rPr>
          <w:rFonts w:ascii="Times New Roman" w:hAnsi="Times New Roman" w:eastAsia="한양신명조"/>
          <w:vertAlign w:val="subscript"/>
        </w:rPr>
        <w:t>t</w:t>
      </w:r>
      <w:r>
        <w:rPr>
          <w:rFonts w:ascii="Times New Roman" w:hAnsi="Times New Roman" w:eastAsia="한양신명조"/>
        </w:rPr>
        <w:t xml:space="preserve"> + u</w:t>
      </w:r>
      <w:r>
        <w:rPr>
          <w:rFonts w:ascii="Times New Roman" w:hAnsi="Times New Roman" w:eastAsia="한양신명조"/>
          <w:vertAlign w:val="subscript"/>
        </w:rPr>
        <w:t>b</w:t>
      </w:r>
      <w:r>
        <w:rPr>
          <w:rFonts w:ascii="Times New Roman" w:hAnsi="Times New Roman" w:eastAsia="한양신명조"/>
        </w:rPr>
        <w:t xml:space="preserve"> + h</w:t>
      </w:r>
      <w:r>
        <w:rPr>
          <w:rFonts w:ascii="Times New Roman" w:hAnsi="Times New Roman" w:eastAsia="한양신명조"/>
          <w:vertAlign w:val="subscript"/>
        </w:rPr>
        <w:t>d,t</w:t>
      </w:r>
      <w:r>
        <w:rPr>
          <w:rFonts w:ascii="Times New Roman" w:hAnsi="Times New Roman" w:eastAsia="한양신명조"/>
        </w:rPr>
        <w:t xml:space="preserve"> + h</w:t>
      </w:r>
      <w:r>
        <w:rPr>
          <w:rFonts w:ascii="Times New Roman" w:hAnsi="Times New Roman" w:eastAsia="한양신명조"/>
          <w:vertAlign w:val="subscript"/>
        </w:rPr>
        <w:t>d,b</w:t>
      </w:r>
      <w:r>
        <w:rPr>
          <w:rFonts w:ascii="Times New Roman" w:hAnsi="Times New Roman" w:eastAsia="한양신명조"/>
        </w:rPr>
        <w:t xml:space="preserve"> − (r</w:t>
      </w:r>
      <w:r>
        <w:rPr>
          <w:rFonts w:ascii="Times New Roman" w:hAnsi="Times New Roman" w:eastAsia="한양신명조"/>
          <w:vertAlign w:val="subscript"/>
        </w:rPr>
        <w:t>t</w:t>
      </w:r>
      <w:r>
        <w:rPr>
          <w:rFonts w:ascii="Times New Roman" w:hAnsi="Times New Roman" w:eastAsia="한양신명조"/>
        </w:rPr>
        <w:t xml:space="preserve"> + r</w:t>
      </w:r>
      <w:r>
        <w:rPr>
          <w:rFonts w:ascii="Times New Roman" w:hAnsi="Times New Roman" w:eastAsia="한양신명조"/>
          <w:vertAlign w:val="subscript"/>
        </w:rPr>
        <w:t>b</w:t>
      </w:r>
      <w:r>
        <w:rPr>
          <w:rFonts w:ascii="Times New Roman" w:hAnsi="Times New Roman" w:eastAsia="한양신명조"/>
        </w:rPr>
        <w:t>) ≥ 0(r: CMP recess)으로 두 기구를 분해한다. 선행연구는 방위별 탄성(Ayoub</w:t>
      </w:r>
      <w:r>
        <w:rPr>
          <w:rFonts w:ascii="Times New Roman" w:hAnsi="Times New Roman" w:eastAsia="한양신명조"/>
          <w:vertAlign w:val="superscript"/>
        </w:rPr>
        <w:t>[4]</w:t>
      </w:r>
      <w:r>
        <w:rPr>
          <w:rFonts w:ascii="Times New Roman" w:hAnsi="Times New Roman" w:eastAsia="한양신명조"/>
        </w:rPr>
        <w:t>), 1–9 µm 돌출(Lin·Chen</w:t>
      </w:r>
      <w:r>
        <w:rPr>
          <w:rFonts w:ascii="Times New Roman" w:hAnsi="Times New Roman" w:eastAsia="한양신명조"/>
          <w:vertAlign w:val="superscript"/>
        </w:rPr>
        <w:t>[5,6]</w:t>
      </w:r>
      <w:r>
        <w:rPr>
          <w:rFonts w:ascii="Times New Roman" w:hAnsi="Times New Roman" w:eastAsia="한양신명조"/>
        </w:rPr>
        <w:t>), bulge-out 분포(imec</w:t>
      </w:r>
      <w:r>
        <w:rPr>
          <w:rFonts w:ascii="Times New Roman" w:hAnsi="Times New Roman" w:eastAsia="한양신명조"/>
          <w:vertAlign w:val="superscript"/>
        </w:rPr>
        <w:t>[2,3]</w:t>
      </w:r>
      <w:r>
        <w:rPr>
          <w:rFonts w:ascii="Times New Roman" w:hAnsi="Times New Roman" w:eastAsia="한양신명조"/>
        </w:rPr>
        <w:t>)로 나뉘어 있고, 둘을 한 공정창으로 묶어 독립 실측으로 시험한 연구는 없다.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기여는 세 가지다. ① 세 연구그룹 실측으로 교차 시험한 결합 모델에서 기구 전환 폭을 recess 조건부 규칙으로 정량화했다(recess 합 3/5/8 nm에서 0.55/0.70/1.0 µm). ② sub-µm에서 방위 효과는 탄성 항(폭 4 %)이 아니라 표면확산 항(&lt;111&gt; facet)을 통해 들어오며, 이 항이 imec 분포의 폭과 꼬리를 재조정 없이 재현한다. 따라서 방위 위험은 Ayoub의 [111] 기준 recess 사양이 아니라 어닐·텍스처로 다뤄야 한다. ③ 300 nm 공정창, recess 허용 합, 미접촉 쌍 하한과 인자 순위를 불확실도와 함께 제시한다.</w:t>
      </w:r>
    </w:p>
    <w:p>
      <w:pPr>
        <w:pStyle w:val="a5"/>
      </w:pPr>
      <w:r>
        <w:rPr>
          <w:rFonts w:ascii="Times New Roman" w:hAnsi="Times New Roman" w:eastAsia="한양신명조"/>
        </w:rPr>
        <w:t>Ⅱ. 모델과 검증 절차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열탄성 u는 ANSYS FEM(이방성 Cu C</w:t>
      </w:r>
      <w:r>
        <w:rPr>
          <w:rFonts w:ascii="Times New Roman" w:hAnsi="Times New Roman" w:eastAsia="한양신명조"/>
          <w:vertAlign w:val="subscript"/>
        </w:rPr>
        <w:t>11</w:t>
      </w:r>
      <w:r>
        <w:rPr>
          <w:rFonts w:ascii="Times New Roman" w:hAnsi="Times New Roman" w:eastAsia="한양신명조"/>
        </w:rPr>
        <w:t>/C</w:t>
      </w:r>
      <w:r>
        <w:rPr>
          <w:rFonts w:ascii="Times New Roman" w:hAnsi="Times New Roman" w:eastAsia="한양신명조"/>
          <w:vertAlign w:val="subscript"/>
        </w:rPr>
        <w:t>12</w:t>
      </w:r>
      <w:r>
        <w:rPr>
          <w:rFonts w:ascii="Times New Roman" w:hAnsi="Times New Roman" w:eastAsia="한양신명조"/>
        </w:rPr>
        <w:t>/C</w:t>
      </w:r>
      <w:r>
        <w:rPr>
          <w:rFonts w:ascii="Times New Roman" w:hAnsi="Times New Roman" w:eastAsia="한양신명조"/>
          <w:vertAlign w:val="subscript"/>
        </w:rPr>
        <w:t>44</w:t>
      </w:r>
      <w:r>
        <w:rPr>
          <w:rFonts w:ascii="Times New Roman" w:hAnsi="Times New Roman" w:eastAsia="한양신명조"/>
        </w:rPr>
        <w:t xml:space="preserve"> = 168.4/121.4/75.4 GPa, α</w:t>
      </w:r>
      <w:r>
        <w:rPr>
          <w:rFonts w:ascii="Times New Roman" w:hAnsi="Times New Roman" w:eastAsia="한양신명조"/>
          <w:vertAlign w:val="subscript"/>
        </w:rPr>
        <w:t>Cu</w:t>
      </w:r>
      <w:r>
        <w:rPr>
          <w:rFonts w:ascii="Times New Roman" w:hAnsi="Times New Roman" w:eastAsia="한양신명조"/>
        </w:rPr>
        <w:t xml:space="preserve"> = 16.5 ppm/K, 접합 측벽, 배열 셀)으로 계산하고, 유전체 E·α만 공정당 한 번 큰 패드에서 문헌 범위 안에서 학습했다. 확산 항은 DM2024</w:t>
      </w:r>
      <w:r>
        <w:rPr>
          <w:rFonts w:ascii="Times New Roman" w:hAnsi="Times New Roman" w:eastAsia="한양신명조"/>
          <w:vertAlign w:val="superscript"/>
        </w:rPr>
        <w:t>[7]</w:t>
      </w:r>
      <w:r>
        <w:rPr>
          <w:rFonts w:ascii="Times New Roman" w:hAnsi="Times New Roman" w:eastAsia="한양신명조"/>
        </w:rPr>
        <w:t>의 선형화를 따른다.</w:t>
      </w:r>
    </w:p>
    <w:p>
      <w:pPr>
        <w:pStyle w:val="af6"/>
        <w:tabs>
          <w:tab w:pos="4450" w:val="right"/>
        </w:tabs>
      </w:pPr>
      <w:r>
        <w:rPr>
          <w:rFonts w:ascii="Times New Roman" w:hAnsi="Times New Roman" w:eastAsia="한양신명조"/>
          <w:sz w:val="18"/>
        </w:rPr>
        <w:t>h</w:t>
      </w:r>
      <w:r>
        <w:rPr>
          <w:rFonts w:ascii="Times New Roman" w:hAnsi="Times New Roman" w:eastAsia="한양신명조"/>
          <w:sz w:val="18"/>
          <w:vertAlign w:val="subscript"/>
        </w:rPr>
        <w:t>d</w:t>
      </w:r>
      <w:r>
        <w:rPr>
          <w:rFonts w:ascii="Times New Roman" w:hAnsi="Times New Roman" w:eastAsia="한양신명조"/>
          <w:sz w:val="18"/>
        </w:rPr>
        <w:t xml:space="preserve"> = s</w:t>
      </w:r>
      <w:r>
        <w:rPr>
          <w:rFonts w:ascii="Times New Roman" w:hAnsi="Times New Roman" w:eastAsia="한양신명조"/>
          <w:sz w:val="18"/>
          <w:vertAlign w:val="subscript"/>
        </w:rPr>
        <w:t>ox</w:t>
      </w:r>
      <w:r>
        <w:rPr>
          <w:rFonts w:ascii="Times New Roman" w:hAnsi="Times New Roman" w:eastAsia="한양신명조"/>
          <w:sz w:val="18"/>
        </w:rPr>
        <w:t>·0.0022(θ</w:t>
      </w:r>
      <w:r>
        <w:rPr>
          <w:rFonts w:ascii="Times New Roman" w:hAnsi="Times New Roman" w:eastAsia="한양신명조"/>
          <w:sz w:val="18"/>
          <w:vertAlign w:val="subscript"/>
        </w:rPr>
        <w:t>eff</w:t>
      </w:r>
      <w:r>
        <w:rPr>
          <w:rFonts w:ascii="Times New Roman" w:hAnsi="Times New Roman" w:eastAsia="한양신명조"/>
          <w:sz w:val="18"/>
        </w:rPr>
        <w:t xml:space="preserve"> − 90°)·D·f(ω)·[1 − e</w:t>
      </w:r>
      <w:r>
        <w:rPr>
          <w:rFonts w:ascii="Times New Roman" w:hAnsi="Times New Roman" w:eastAsia="한양신명조"/>
          <w:sz w:val="18"/>
          <w:vertAlign w:val="superscript"/>
        </w:rPr>
        <w:t>−t/τ</w:t>
      </w:r>
      <w:r>
        <w:rPr>
          <w:rFonts w:ascii="Times New Roman" w:hAnsi="Times New Roman" w:eastAsia="한양신명조"/>
          <w:sz w:val="18"/>
        </w:rPr>
        <w:t>],</w:t>
        <w:tab/>
        <w:t>(1)</w:t>
      </w:r>
    </w:p>
    <w:p>
      <w:pPr>
        <w:pStyle w:val="af6"/>
        <w:tabs>
          <w:tab w:pos="4450" w:val="right"/>
        </w:tabs>
      </w:pPr>
      <w:r>
        <w:rPr>
          <w:rFonts w:ascii="Times New Roman" w:hAnsi="Times New Roman" w:eastAsia="한양신명조"/>
          <w:sz w:val="18"/>
        </w:rPr>
        <w:t>τ = τ</w:t>
      </w:r>
      <w:r>
        <w:rPr>
          <w:rFonts w:ascii="Times New Roman" w:hAnsi="Times New Roman" w:eastAsia="한양신명조"/>
          <w:sz w:val="18"/>
          <w:vertAlign w:val="subscript"/>
        </w:rPr>
        <w:t>0</w:t>
      </w:r>
      <w:r>
        <w:rPr>
          <w:rFonts w:ascii="Times New Roman" w:hAnsi="Times New Roman" w:eastAsia="한양신명조"/>
          <w:sz w:val="18"/>
        </w:rPr>
        <w:t>(D/200 nm)</w:t>
      </w:r>
      <w:r>
        <w:rPr>
          <w:rFonts w:ascii="Times New Roman" w:hAnsi="Times New Roman" w:eastAsia="한양신명조"/>
          <w:sz w:val="18"/>
          <w:vertAlign w:val="superscript"/>
        </w:rPr>
        <w:t>3.7</w:t>
      </w:r>
      <w:r>
        <w:rPr>
          <w:rFonts w:ascii="Times New Roman" w:hAnsi="Times New Roman" w:eastAsia="한양신명조"/>
          <w:sz w:val="18"/>
        </w:rPr>
        <w:t>·D</w:t>
      </w:r>
      <w:r>
        <w:rPr>
          <w:rFonts w:ascii="Times New Roman" w:hAnsi="Times New Roman" w:eastAsia="한양신명조"/>
          <w:sz w:val="18"/>
          <w:vertAlign w:val="subscript"/>
        </w:rPr>
        <w:t>s</w:t>
      </w:r>
      <w:r>
        <w:rPr>
          <w:rFonts w:ascii="Times New Roman" w:hAnsi="Times New Roman" w:eastAsia="한양신명조"/>
          <w:sz w:val="18"/>
        </w:rPr>
        <w:t>(350 °C)/D</w:t>
      </w:r>
      <w:r>
        <w:rPr>
          <w:rFonts w:ascii="Times New Roman" w:hAnsi="Times New Roman" w:eastAsia="한양신명조"/>
          <w:sz w:val="18"/>
          <w:vertAlign w:val="subscript"/>
        </w:rPr>
        <w:t>s</w:t>
      </w:r>
      <w:r>
        <w:rPr>
          <w:rFonts w:ascii="Times New Roman" w:hAnsi="Times New Roman" w:eastAsia="한양신명조"/>
          <w:sz w:val="18"/>
        </w:rPr>
        <w:t>(T)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여기서 Q = 20.7 kcal/mol</w:t>
      </w:r>
      <w:r>
        <w:rPr>
          <w:rFonts w:ascii="Times New Roman" w:hAnsi="Times New Roman" w:eastAsia="한양신명조"/>
          <w:vertAlign w:val="superscript"/>
        </w:rPr>
        <w:t>[8]</w:t>
      </w:r>
      <w:r>
        <w:rPr>
          <w:rFonts w:ascii="Times New Roman" w:hAnsi="Times New Roman" w:eastAsia="한양신명조"/>
        </w:rPr>
        <w:t>, τ</w:t>
      </w:r>
      <w:r>
        <w:rPr>
          <w:rFonts w:ascii="Times New Roman" w:hAnsi="Times New Roman" w:eastAsia="한양신명조"/>
          <w:vertAlign w:val="subscript"/>
        </w:rPr>
        <w:t>0</w:t>
      </w:r>
      <w:r>
        <w:rPr>
          <w:rFonts w:ascii="Times New Roman" w:hAnsi="Times New Roman" w:eastAsia="한양신명조"/>
        </w:rPr>
        <w:t xml:space="preserve"> = 60 s, s</w:t>
      </w:r>
      <w:r>
        <w:rPr>
          <w:rFonts w:ascii="Times New Roman" w:hAnsi="Times New Roman" w:eastAsia="한양신명조"/>
          <w:vertAlign w:val="subscript"/>
        </w:rPr>
        <w:t>ox</w:t>
      </w:r>
      <w:r>
        <w:rPr>
          <w:rFonts w:ascii="Times New Roman" w:hAnsi="Times New Roman" w:eastAsia="한양신명조"/>
        </w:rPr>
        <w:t>는 산화 배율(청정 1, 산화 0.45), f(ω) = clip((ω − ω</w:t>
      </w:r>
      <w:r>
        <w:rPr>
          <w:rFonts w:ascii="Times New Roman" w:hAnsi="Times New Roman" w:eastAsia="한양신명조"/>
          <w:vertAlign w:val="subscript"/>
        </w:rPr>
        <w:t>c</w:t>
      </w:r>
      <w:r>
        <w:rPr>
          <w:rFonts w:ascii="Times New Roman" w:hAnsi="Times New Roman" w:eastAsia="한양신명조"/>
        </w:rPr>
        <w:t>)/Δω, 0, 1)은 패드 법선과 가장 가까운 &lt;111&gt; 사이 각 ω의 진폭 인자다({111} facet은 곡률 구동력을 잃는다</w:t>
      </w:r>
      <w:r>
        <w:rPr>
          <w:rFonts w:ascii="Times New Roman" w:hAnsi="Times New Roman" w:eastAsia="한양신명조"/>
          <w:vertAlign w:val="superscript"/>
        </w:rPr>
        <w:t>[3]</w:t>
      </w:r>
      <w:r>
        <w:rPr>
          <w:rFonts w:ascii="Times New Roman" w:hAnsi="Times New Roman" w:eastAsia="한양신명조"/>
        </w:rPr>
        <w:t>). ASME V&amp;V 10-2019 순서(수치 검증–학습–테스트–예측)를 따랐고, 탄성은 NYCU 9·3 µm와 imec 1.80·3.06 µm로 학습해 imec 1.26·0.54 µm, NYCU 1 µm, 미끄럼 측벽 대조군으로 테스트했다. 확산 항은 imec 2026</w:t>
      </w:r>
      <w:r>
        <w:rPr>
          <w:rFonts w:ascii="Times New Roman" w:hAnsi="Times New Roman" w:eastAsia="한양신명조"/>
          <w:vertAlign w:val="superscript"/>
        </w:rPr>
        <w:t>[3]</w:t>
      </w:r>
      <w:r>
        <w:rPr>
          <w:rFonts w:ascii="Times New Roman" w:hAnsi="Times New Roman" w:eastAsia="한양신명조"/>
        </w:rPr>
        <w:t>의 한 점(400 nm 피치, 350 °C)으로 진폭만 학습하고 17점으로 테스트했다. 모든 규칙은 결과 계산 전에 공개 저장소에 사전등록하였다(채택 후 공개).</w:t>
      </w:r>
    </w:p>
    <w:p>
      <w:pPr>
        <w:pStyle w:val="a5"/>
      </w:pPr>
      <w:r>
        <w:rPr>
          <w:rFonts w:ascii="Times New Roman" w:hAnsi="Times New Roman" w:eastAsia="한양신명조"/>
        </w:rPr>
        <w:t>Ⅲ. 결  과</w:t>
      </w:r>
    </w:p>
    <w:p>
      <w:pPr>
        <w:pStyle w:val="a6"/>
      </w:pPr>
      <w:r>
        <w:rPr>
          <w:rFonts w:ascii="Times New Roman" w:hAnsi="Times New Roman" w:eastAsia="한양신명조"/>
        </w:rPr>
        <w:t>1. 열탄성 모델과 기구 전환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Table 1처럼 NYCU 1 µm와 imec 1.26·0.54 µm의 100–200 °C는 통과했고, 미끄럼 측벽은 1 µm에서 1.7배, 0.54 µm에서 3.5배 과대예측해 측벽이 접합 상태임이 판별됐다. 그러나 0.54 µm는 전 온도에서 측정/모델 비 0.61–0.69로 과대예측해(400 °C +46 %) NOT VALIDATED로 동결했다. recess 합 5 nm</w:t>
      </w:r>
      <w:r>
        <w:rPr>
          <w:rFonts w:ascii="Times New Roman" w:hAnsi="Times New Roman" w:eastAsia="한양신명조"/>
          <w:vertAlign w:val="superscript"/>
        </w:rPr>
        <w:t>[9]</w:t>
      </w:r>
      <w:r>
        <w:rPr>
          <w:rFonts w:ascii="Times New Roman" w:hAnsi="Times New Roman" w:eastAsia="한양신명조"/>
        </w:rPr>
        <w:t>에서 400 °C 위·아래 탄성 돌출이 recess 합을 넘는 최소 크기는 실측 기준 0.70 µm, 모델 0.66–1.06 µm이다(Fig. 1). 그 아래에서는 탄성만으로 접촉이 안 된다(300 nm: 패드당 ≈ 1 nm).</w:t>
      </w:r>
    </w:p>
    <w:p>
      <w:pPr>
        <w:pStyle w:val="a8"/>
        <w:keepNext/>
      </w:pPr>
      <w:r>
        <w:rPr>
          <w:rFonts w:ascii="Times New Roman" w:hAnsi="Times New Roman" w:eastAsia="한양신명조"/>
        </w:rPr>
        <w:t>Table 1. Elastic-model test (bonded sidewall)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5" w:type="dxa"/>
          <w:right w:w="45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133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Case</w:t>
            </w:r>
          </w:p>
        </w:tc>
        <w:tc>
          <w:tcPr>
            <w:tcW w:type="dxa" w:w="116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Model (nm)</w:t>
            </w:r>
          </w:p>
        </w:tc>
        <w:tc>
          <w:tcPr>
            <w:tcW w:type="dxa" w:w="116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Measured (nm)</w:t>
            </w:r>
          </w:p>
        </w:tc>
        <w:tc>
          <w:tcPr>
            <w:tcW w:type="dxa" w:w="85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Result</w:t>
            </w:r>
          </w:p>
        </w:tc>
      </w:tr>
      <w:tr>
        <w:trPr>
          <w:cantSplit/>
        </w:trPr>
        <w:tc>
          <w:tcPr>
            <w:tcW w:type="dxa" w:w="1332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NYCU 1 µm, 200 °C</w:t>
            </w:r>
          </w:p>
        </w:tc>
        <w:tc>
          <w:tcPr>
            <w:tcW w:type="dxa" w:w="1162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1.79–1.94</w:t>
            </w:r>
          </w:p>
        </w:tc>
        <w:tc>
          <w:tcPr>
            <w:tcW w:type="dxa" w:w="1162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2.1 ± 0.4</w:t>
            </w:r>
          </w:p>
        </w:tc>
        <w:tc>
          <w:tcPr>
            <w:tcW w:type="dxa" w:w="850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33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imec 1.26 µm, 100–400 °C</w:t>
            </w:r>
          </w:p>
        </w:tc>
        <w:tc>
          <w:tcPr>
            <w:tcW w:type="dxa" w:w="116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0.81/1.88/2.96/4.04</w:t>
            </w:r>
          </w:p>
        </w:tc>
        <w:tc>
          <w:tcPr>
            <w:tcW w:type="dxa" w:w="116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0.70/1.60/3.65/5.00</w:t>
            </w:r>
          </w:p>
        </w:tc>
        <w:tc>
          <w:tcPr>
            <w:tcW w:type="dxa" w:w="85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P/P/F/F</w:t>
            </w:r>
          </w:p>
        </w:tc>
      </w:tr>
      <w:tr>
        <w:trPr>
          <w:cantSplit/>
        </w:trPr>
        <w:tc>
          <w:tcPr>
            <w:tcW w:type="dxa" w:w="133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imec 0.54 µm, 100–400 °C</w:t>
            </w:r>
          </w:p>
        </w:tc>
        <w:tc>
          <w:tcPr>
            <w:tcW w:type="dxa" w:w="116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0.41/0.95/1.50/2.04</w:t>
            </w:r>
          </w:p>
        </w:tc>
        <w:tc>
          <w:tcPr>
            <w:tcW w:type="dxa" w:w="116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0.25/0.60/1.00/1.40</w:t>
            </w:r>
          </w:p>
        </w:tc>
        <w:tc>
          <w:tcPr>
            <w:tcW w:type="dxa" w:w="85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P/P/F/F</w:t>
            </w:r>
          </w:p>
        </w:tc>
      </w:tr>
      <w:tr>
        <w:trPr>
          <w:cantSplit/>
        </w:trPr>
        <w:tc>
          <w:tcPr>
            <w:tcW w:type="dxa" w:w="133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sliding, 1 / 0.54 µm</w:t>
            </w:r>
          </w:p>
        </w:tc>
        <w:tc>
          <w:tcPr>
            <w:tcW w:type="dxa" w:w="116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3.66 / 4.84</w:t>
            </w:r>
          </w:p>
        </w:tc>
        <w:tc>
          <w:tcPr>
            <w:tcW w:type="dxa" w:w="116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2.1 / 1.4</w:t>
            </w:r>
          </w:p>
        </w:tc>
        <w:tc>
          <w:tcPr>
            <w:tcW w:type="dxa" w:w="85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fails (must)</w:t>
            </w:r>
          </w:p>
        </w:tc>
      </w:tr>
    </w:tbl>
    <w:p>
      <w:pPr>
        <w:pStyle w:val="a4"/>
        <w:spacing w:line="144" w:lineRule="auto"/>
      </w:pPr>
    </w:p>
    <w:p>
      <w:pPr>
        <w:pStyle w:val="a4"/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62000" cy="2499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ransi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2499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  <w:spacing w:after="120"/>
      </w:pPr>
      <w:r>
        <w:rPr>
          <w:rFonts w:ascii="Times New Roman" w:hAnsi="Times New Roman" w:eastAsia="한양신명조"/>
        </w:rPr>
        <w:t>Fig. 1. Mechanism transition with pad size: top + bottom elastic protrusion at 400 °C (FEM, FEM × 0.69, imec measurement) versus the saturated diffusion bulge-out (checked for D ≤ 300 nm; dashed = extrapolation) and the IRPS 2026 recess sum of 5 nm; crossover ≈ 0.7 µm. Inset: transition size versus recess sum</w:t>
      </w:r>
    </w:p>
    <w:p>
      <w:pPr>
        <w:pStyle w:val="a6"/>
      </w:pPr>
      <w:r>
        <w:rPr>
          <w:rFonts w:ascii="Times New Roman" w:hAnsi="Times New Roman" w:eastAsia="한양신명조"/>
        </w:rPr>
        <w:t>2. 표면확산 항 테스트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고정형 확산 항은 2/17, 문서화된 개정 1(θ</w:t>
      </w:r>
      <w:r>
        <w:rPr>
          <w:rFonts w:ascii="Times New Roman" w:hAnsi="Times New Roman" w:eastAsia="한양신명조"/>
          <w:vertAlign w:val="subscript"/>
        </w:rPr>
        <w:t>eff</w:t>
      </w:r>
      <w:r>
        <w:rPr>
          <w:rFonts w:ascii="Times New Roman" w:hAnsi="Times New Roman" w:eastAsia="한양신명조"/>
        </w:rPr>
        <w:t xml:space="preserve"> = 113.6°)은 11/17 통과로 규칙상 NOT VALIDATED이다. 실패 6점은 모두 과소예측(200 °C의 D ≥ 250 nm 또는 자가 어닐 Cu)이고 250 °C 이상 PPA-Cu는 5/5 통과해, 식은 250 °C 이상에서 맞고 200 °C에서 보수적이다. 방위 항을 넣은 2차 탐색(θ</w:t>
      </w:r>
      <w:r>
        <w:rPr>
          <w:rFonts w:ascii="Times New Roman" w:hAnsi="Times New Roman" w:eastAsia="한양신명조"/>
          <w:vertAlign w:val="subscript"/>
        </w:rPr>
        <w:t>eff</w:t>
      </w:r>
      <w:r>
        <w:rPr>
          <w:rFonts w:ascii="Times New Roman" w:hAnsi="Times New Roman" w:eastAsia="한양신명조"/>
        </w:rPr>
        <w:t xml:space="preserve"> 119°, ω</w:t>
      </w:r>
      <w:r>
        <w:rPr>
          <w:rFonts w:ascii="Times New Roman" w:hAnsi="Times New Roman" w:eastAsia="한양신명조"/>
          <w:vertAlign w:val="subscript"/>
        </w:rPr>
        <w:t>c</w:t>
      </w:r>
      <w:r>
        <w:rPr>
          <w:rFonts w:ascii="Times New Roman" w:hAnsi="Times New Roman" w:eastAsia="한양신명조"/>
        </w:rPr>
        <w:t xml:space="preserve"> 5°, Δω 19.5°)은 분포 폭(IQR)을 10/17 재현했다(Fig. 2; 방위 없는 모델의 IQR은 0).</w:t>
      </w:r>
    </w:p>
    <w:p>
      <w:pPr>
        <w:pStyle w:val="a4"/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62000" cy="390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iffu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390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  <w:spacing w:after="120"/>
      </w:pPr>
      <w:r>
        <w:rPr>
          <w:rFonts w:ascii="Times New Roman" w:hAnsi="Times New Roman" w:eastAsia="한양신명조"/>
        </w:rPr>
        <w:t>Fig. 2. Surface-diffusion term (with orientation factor, exploratory round 2) versus imec 2026 bulge-out distributions: (a) 400/500 nm pitch medians and IQR versus anneal T and time (open = failed point), (b) size dependence at 250 °C, 1 h (200–500 nm pitch), (c) orientation factor f(ω) and the faceted fraction</w:t>
      </w:r>
    </w:p>
    <w:p>
      <w:pPr>
        <w:pStyle w:val="a6"/>
      </w:pPr>
      <w:r>
        <w:rPr>
          <w:rFonts w:ascii="Times New Roman" w:hAnsi="Times New Roman" w:eastAsia="한양신명조"/>
        </w:rPr>
        <w:t>3. Ayoub 변형률과 300 nm 공정창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Ayoub 변형률</w:t>
      </w:r>
      <w:r>
        <w:rPr>
          <w:rFonts w:ascii="Times New Roman" w:hAnsi="Times New Roman" w:eastAsia="한양신명조"/>
          <w:vertAlign w:val="superscript"/>
        </w:rPr>
        <w:t>[4]</w:t>
      </w:r>
      <w:r>
        <w:rPr>
          <w:rFonts w:ascii="Times New Roman" w:hAnsi="Times New Roman" w:eastAsia="한양신명조"/>
        </w:rPr>
        <w:t>과 비교하면 3 µm에서 ε′</w:t>
      </w:r>
      <w:r>
        <w:rPr>
          <w:rFonts w:ascii="Times New Roman" w:hAnsi="Times New Roman" w:eastAsia="한양신명조"/>
          <w:vertAlign w:val="subscript"/>
        </w:rPr>
        <w:t>zz</w:t>
      </w:r>
      <w:r>
        <w:rPr>
          <w:rFonts w:ascii="Times New Roman" w:hAnsi="Times New Roman" w:eastAsia="한양신명조"/>
        </w:rPr>
        <w:t xml:space="preserve"> 부호가 일치했고, 300 nm에서는 가열 기울기 크기가 0.5 % 안에 들되 부호가 반대였다. 다른 공정·시료이므로 계면 상태 차이로 보되 가설로 두며, 300 nm 크기 재현은 주장하지 않는다.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상·하 방위(구면 균일)와 recess(패드당 N(2.5, 0.5²) nm) 2 × 10</w:t>
      </w:r>
      <w:r>
        <w:rPr>
          <w:rFonts w:ascii="Times New Roman" w:hAnsi="Times New Roman" w:eastAsia="한양신명조"/>
          <w:vertAlign w:val="superscript"/>
        </w:rPr>
        <w:t>5</w:t>
      </w:r>
      <w:r>
        <w:rPr>
          <w:rFonts w:ascii="Times New Roman" w:hAnsi="Times New Roman" w:eastAsia="한양신명조"/>
        </w:rPr>
        <w:t xml:space="preserve"> 쌍으로 P</w:t>
      </w:r>
      <w:r>
        <w:rPr>
          <w:rFonts w:ascii="Times New Roman" w:hAnsi="Times New Roman" w:eastAsia="한양신명조"/>
          <w:vertAlign w:val="subscript"/>
        </w:rPr>
        <w:t>contact</w:t>
      </w:r>
      <w:r>
        <w:rPr>
          <w:rFonts w:ascii="Times New Roman" w:hAnsi="Times New Roman" w:eastAsia="한양신명조"/>
        </w:rPr>
        <w:t>를 계산하면(Fig. 3), 청정 표면 창(P ≥ 0.99)은 250 °C × 2 h 또는 300 °C × 30 min부터 열리고, 불확실 집합 b × τ</w:t>
      </w:r>
      <w:r>
        <w:rPr>
          <w:rFonts w:ascii="Times New Roman" w:hAnsi="Times New Roman" w:eastAsia="한양신명조"/>
          <w:vertAlign w:val="subscript"/>
        </w:rPr>
        <w:t>0</w:t>
      </w:r>
      <w:r>
        <w:rPr>
          <w:rFonts w:ascii="Times New Roman" w:hAnsi="Times New Roman" w:eastAsia="한양신명조"/>
        </w:rPr>
        <w:t xml:space="preserve"> × Q에서 바뀌는 셀은 경계 3개다. 산화 표면은 최소 레시피를 300 °C × 2 h로 늦춘다. recess 허용 합은 청정 표면 7.5 nm(250 °C × 2 h)–11.5 nm(400 °C), 산화 표면 3.5–6 nm이다(Fig. 3). 인자 순위(Fig. 5a)는 지배 기구(9/15) ≫ 표면 상태(3) &gt; 확산 동역학·&lt;111&gt; facet·라이너(각 2) &gt; recess·b(0)이다. 총 돌출의 방위 폭은 300 nm에서 11.5 nm(탄성 0.03 nm)이며, &lt;111&gt; 근방 패드 때문에 권고 셀에서 미접촉 쌍 2.3–3.4 × 10</w:t>
      </w:r>
      <w:r>
        <w:rPr>
          <w:rFonts w:ascii="Times New Roman" w:hAnsi="Times New Roman" w:eastAsia="한양신명조"/>
          <w:vertAlign w:val="superscript"/>
        </w:rPr>
        <w:t>−3</w:t>
      </w:r>
      <w:r>
        <w:rPr>
          <w:rFonts w:ascii="Times New Roman" w:hAnsi="Times New Roman" w:eastAsia="한양신명조"/>
        </w:rPr>
        <w:t>, 400 °C에서도 1.4 × 10</w:t>
      </w:r>
      <w:r>
        <w:rPr>
          <w:rFonts w:ascii="Times New Roman" w:hAnsi="Times New Roman" w:eastAsia="한양신명조"/>
          <w:vertAlign w:val="superscript"/>
        </w:rPr>
        <w:t>−3</w:t>
      </w:r>
      <w:r>
        <w:rPr>
          <w:rFonts w:ascii="Times New Roman" w:hAnsi="Times New Roman" w:eastAsia="한양신명조"/>
        </w:rPr>
        <w:t>이 남는다(Fig. 5b).</w:t>
      </w:r>
    </w:p>
    <w:p>
      <w:pPr>
        <w:pStyle w:val="a4"/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62000" cy="25453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indow3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254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  <w:spacing w:after="120"/>
      </w:pPr>
      <w:r>
        <w:rPr>
          <w:rFonts w:ascii="Times New Roman" w:hAnsi="Times New Roman" w:eastAsia="한양신명조"/>
        </w:rPr>
        <w:t>Fig. 3. 300 nm pads: contact-probability process window over anneal T × time for a clean surface (main) and an oxidised surface (sensitivity); hatched cells change within the uncertainty set b × τ</w:t>
      </w:r>
      <w:r>
        <w:rPr>
          <w:rFonts w:ascii="Times New Roman" w:hAnsi="Times New Roman" w:eastAsia="한양신명조"/>
          <w:vertAlign w:val="subscript"/>
        </w:rPr>
        <w:t>0</w:t>
      </w:r>
      <w:r>
        <w:rPr>
          <w:rFonts w:ascii="Times New Roman" w:hAnsi="Times New Roman" w:eastAsia="한양신명조"/>
        </w:rPr>
        <w:t xml:space="preserve"> × Q; boxes mark the recommended cells</w:t>
      </w:r>
    </w:p>
    <w:p>
      <w:pPr>
        <w:pStyle w:val="a4"/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62000" cy="23635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recess_spe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2363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  <w:spacing w:after="120"/>
      </w:pPr>
      <w:r>
        <w:rPr>
          <w:rFonts w:ascii="Times New Roman" w:hAnsi="Times New Roman" w:eastAsia="한양신명조"/>
        </w:rPr>
        <w:t>Fig. 4. 300 nm pads: allowable CMP recess sum (top + bottom, nm) for P(contact) ≥ 0.99 for each anneal T × time (σ = 0.5 nm per pad)</w:t>
      </w:r>
    </w:p>
    <w:p>
      <w:pPr>
        <w:pStyle w:val="a4"/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62000" cy="36362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3636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  <w:spacing w:after="120"/>
      </w:pPr>
      <w:r>
        <w:rPr>
          <w:rFonts w:ascii="Times New Roman" w:hAnsi="Times New Roman" w:eastAsia="한양신명조"/>
        </w:rPr>
        <w:t>Fig. 5. (a) Factor ranking: number of window cells (of 15, clean surface) changed when each factor is varied, 0.30 and 0.54 µm. (b) Open-pair fraction at 300 nm with the &lt;111&gt; facet term versus without it (fine-grained-Cu proxy); zero counts are drawn at 1/n</w:t>
      </w:r>
    </w:p>
    <w:p>
      <w:pPr>
        <w:pStyle w:val="a5"/>
      </w:pPr>
      <w:r>
        <w:rPr>
          <w:rFonts w:ascii="Times New Roman" w:hAnsi="Times New Roman" w:eastAsia="한양신명조"/>
        </w:rPr>
        <w:t>Ⅳ. 한계와 결론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한계: 0.54 µm 탄성 오차의 원인은 원 데이터 부재로 미상이고(결정 민감도 시험에서 산화 경계 2셀만 영향), 300 nm 돌출 실측은 없어 300 nm는 예측이며, 200 °C 확산 동역학과 결정립 수·도금 후 어닐 이력은 모델 밖이고, 연결 단계 접촉 FEM은 두께 효과 시험에 실패했다(Table 2). 결론: 1 µm 아래에서 접촉은 표면확산이 결정하며(전환 ≈ 0.7 µm), 레시피 변수는 어닐 온도·시간·표면·라이너·방위(&lt;111&gt; 텍스처)로 옮겨간다. 주장 수위는 "검증 통과 범위의 탄성 모델과 실측으로 점검한 확산 모델로 본 공정창 예측(불확실도 포함)"이다.</w:t>
      </w:r>
    </w:p>
    <w:p>
      <w:pPr>
        <w:pStyle w:val="a8"/>
        <w:keepNext/>
      </w:pPr>
      <w:r>
        <w:rPr>
          <w:rFonts w:ascii="Times New Roman" w:hAnsi="Times New Roman" w:eastAsia="한양신명조"/>
        </w:rPr>
        <w:t>Table 2. Status of each model part (rules pre-registered in a public repository; identifiers disclosed after review)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5" w:type="dxa"/>
          <w:right w:w="45" w:type="dxa"/>
        </w:tblCellMar>
      </w:tblPr>
      <w:tblGrid>
        <w:gridCol w:w="4818"/>
        <w:gridCol w:w="4818"/>
      </w:tblGrid>
      <w:tr>
        <w:trPr>
          <w:cantSplit/>
        </w:trPr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Part</w:t>
            </w:r>
          </w:p>
        </w:tc>
        <w:tc>
          <w:tcPr>
            <w:tcW w:type="dxa" w:w="258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Elastic u, bonded: NYCU 1 µm; imec 1.26, 0.54 µm at 100–200 °C</w:t>
            </w:r>
          </w:p>
        </w:tc>
        <w:tc>
          <w:tcPr>
            <w:tcW w:type="dxa" w:w="2580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validated (pre-registered)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Elastic u, imec 0.54 µm at 300–400 °C (and 1.26 µm)</w:t>
            </w:r>
          </w:p>
        </w:tc>
        <w:tc>
          <w:tcPr>
            <w:tcW w:type="dxa" w:w="25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not validated (+46 % at 0.54 µm); decision sensitivity OPEN (2 oxidised boundary cells)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Diffusion h_d, revision 1 (θ_eff)</w:t>
            </w:r>
          </w:p>
        </w:tc>
        <w:tc>
          <w:tcPr>
            <w:tcW w:type="dxa" w:w="25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not validated by rule (11/17); 5/5 PPA-Cu at ≥ 250 °C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Orientation amplitude f(ω)</w:t>
            </w:r>
          </w:p>
        </w:tc>
        <w:tc>
          <w:tcPr>
            <w:tcW w:type="dxa" w:w="25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exploratory round 2: IQR 10/17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Ayoub ε′zz</w:t>
            </w:r>
          </w:p>
        </w:tc>
        <w:tc>
          <w:tcPr>
            <w:tcW w:type="dxa" w:w="25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 µm sign agrees; 300 nm sign disagrees (interface hypothesis)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300 nm window</w:t>
            </w:r>
          </w:p>
        </w:tc>
        <w:tc>
          <w:tcPr>
            <w:tcW w:type="dxa" w:w="258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prediction with uncertainty</w:t>
            </w:r>
          </w:p>
        </w:tc>
      </w:tr>
    </w:tbl>
    <w:p>
      <w:pPr>
        <w:pStyle w:val="a4"/>
        <w:spacing w:line="144" w:lineRule="auto"/>
      </w:pPr>
    </w:p>
    <w:p>
      <w:pPr>
        <w:pStyle w:val="a5"/>
      </w:pPr>
      <w:r>
        <w:rPr>
          <w:rFonts w:ascii="Times New Roman" w:hAnsi="Times New Roman" w:eastAsia="한양신명조"/>
        </w:rPr>
        <w:t>REFERENCES</w:t>
      </w:r>
    </w:p>
    <w:p>
      <w:pPr>
        <w:pStyle w:val="af5"/>
      </w:pPr>
      <w:r>
        <w:rPr>
          <w:rFonts w:ascii="Times New Roman" w:hAnsi="Times New Roman" w:eastAsia="한양신명조"/>
        </w:rPr>
        <w:t>[1]</w:t>
      </w:r>
      <w:r>
        <w:rPr>
          <w:rFonts w:ascii="Times New Roman" w:hAnsi="Times New Roman" w:eastAsia="한양신명조"/>
        </w:rPr>
        <w:t xml:space="preserve"> S. Van Huylenbroeck et al., "Wafer-to-wafer hybrid bonding technology with 200nm interconnect pitch," in </w:t>
      </w:r>
      <w:r>
        <w:rPr>
          <w:rFonts w:ascii="Times New Roman" w:hAnsi="Times New Roman" w:eastAsia="한양신명조"/>
          <w:i/>
        </w:rPr>
        <w:t>Proc. IEEE ECTC</w:t>
      </w:r>
      <w:r>
        <w:rPr>
          <w:rFonts w:ascii="Times New Roman" w:hAnsi="Times New Roman" w:eastAsia="한양신명조"/>
        </w:rPr>
        <w:t>, 2026.</w:t>
      </w:r>
    </w:p>
    <w:p>
      <w:pPr>
        <w:pStyle w:val="af5"/>
      </w:pPr>
      <w:r>
        <w:rPr>
          <w:rFonts w:ascii="Times New Roman" w:hAnsi="Times New Roman" w:eastAsia="한양신명조"/>
        </w:rPr>
        <w:t>[2]</w:t>
      </w:r>
      <w:r>
        <w:rPr>
          <w:rFonts w:ascii="Times New Roman" w:hAnsi="Times New Roman" w:eastAsia="한양신명조"/>
        </w:rPr>
        <w:t xml:space="preserve"> J. De Messemaeker et al., "New Cu 'bulge-out' mechanism supporting sub-micron scaling of hybrid wafer-to-wafer bonding," in </w:t>
      </w:r>
      <w:r>
        <w:rPr>
          <w:rFonts w:ascii="Times New Roman" w:hAnsi="Times New Roman" w:eastAsia="한양신명조"/>
          <w:i/>
        </w:rPr>
        <w:t>Proc. IEEE ECTC</w:t>
      </w:r>
      <w:r>
        <w:rPr>
          <w:rFonts w:ascii="Times New Roman" w:hAnsi="Times New Roman" w:eastAsia="한양신명조"/>
        </w:rPr>
        <w:t>, pp. 1042–1049, 2023.</w:t>
      </w:r>
    </w:p>
    <w:p>
      <w:pPr>
        <w:pStyle w:val="af5"/>
      </w:pPr>
      <w:r>
        <w:rPr>
          <w:rFonts w:ascii="Times New Roman" w:hAnsi="Times New Roman" w:eastAsia="한양신명조"/>
        </w:rPr>
        <w:t>[3]</w:t>
      </w:r>
      <w:r>
        <w:rPr>
          <w:rFonts w:ascii="Times New Roman" w:hAnsi="Times New Roman" w:eastAsia="한양신명조"/>
        </w:rPr>
        <w:t xml:space="preserve"> J. De Messemaeker et al., "Understanding scaling and temperature limits in Cu bulge-out mechanism for hybrid wafer-to-wafer bonding," in </w:t>
      </w:r>
      <w:r>
        <w:rPr>
          <w:rFonts w:ascii="Times New Roman" w:hAnsi="Times New Roman" w:eastAsia="한양신명조"/>
          <w:i/>
        </w:rPr>
        <w:t>Proc. IEEE ECTC</w:t>
      </w:r>
      <w:r>
        <w:rPr>
          <w:rFonts w:ascii="Times New Roman" w:hAnsi="Times New Roman" w:eastAsia="한양신명조"/>
        </w:rPr>
        <w:t>, pp. 2158–2162, 2026, doi:10.1109/ECTC51846.2026.00355.</w:t>
      </w:r>
    </w:p>
    <w:p>
      <w:pPr>
        <w:pStyle w:val="af5"/>
      </w:pPr>
      <w:r>
        <w:rPr>
          <w:rFonts w:ascii="Times New Roman" w:hAnsi="Times New Roman" w:eastAsia="한양신명조"/>
        </w:rPr>
        <w:t>[4]</w:t>
      </w:r>
      <w:r>
        <w:rPr>
          <w:rFonts w:ascii="Times New Roman" w:hAnsi="Times New Roman" w:eastAsia="한양신명조"/>
        </w:rPr>
        <w:t xml:space="preserve"> B. Ayoub et al., "In-situ characterization of thermomechanical behavior of copper nano-interconnect for 3D integration," </w:t>
      </w:r>
      <w:r>
        <w:rPr>
          <w:rFonts w:ascii="Times New Roman" w:hAnsi="Times New Roman" w:eastAsia="한양신명조"/>
          <w:i/>
        </w:rPr>
        <w:t>Microelectron. Eng.</w:t>
      </w:r>
      <w:r>
        <w:rPr>
          <w:rFonts w:ascii="Times New Roman" w:hAnsi="Times New Roman" w:eastAsia="한양신명조"/>
        </w:rPr>
        <w:t>, vol. 261, 111809, 2022.</w:t>
      </w:r>
    </w:p>
    <w:p>
      <w:pPr>
        <w:pStyle w:val="af5"/>
      </w:pPr>
      <w:r>
        <w:rPr>
          <w:rFonts w:ascii="Times New Roman" w:hAnsi="Times New Roman" w:eastAsia="한양신명조"/>
        </w:rPr>
        <w:t>[5]</w:t>
      </w:r>
      <w:r>
        <w:rPr>
          <w:rFonts w:ascii="Times New Roman" w:hAnsi="Times New Roman" w:eastAsia="한양신명조"/>
        </w:rPr>
        <w:t xml:space="preserve"> H.-E. Lin et al., "Revealing challenges of downscaling effects on Cu thermal expansion in advanced hybrid bonding using in-situ AFM," </w:t>
      </w:r>
      <w:r>
        <w:rPr>
          <w:rFonts w:ascii="Times New Roman" w:hAnsi="Times New Roman" w:eastAsia="한양신명조"/>
          <w:i/>
        </w:rPr>
        <w:t>Appl. Surf. Sci.</w:t>
      </w:r>
      <w:r>
        <w:rPr>
          <w:rFonts w:ascii="Times New Roman" w:hAnsi="Times New Roman" w:eastAsia="한양신명조"/>
        </w:rPr>
        <w:t>, vol. 689, 162539, 2025.</w:t>
      </w:r>
    </w:p>
    <w:p>
      <w:pPr>
        <w:pStyle w:val="af5"/>
      </w:pPr>
      <w:r>
        <w:rPr>
          <w:rFonts w:ascii="Times New Roman" w:hAnsi="Times New Roman" w:eastAsia="한양신명조"/>
        </w:rPr>
        <w:t>[6]</w:t>
      </w:r>
      <w:r>
        <w:rPr>
          <w:rFonts w:ascii="Times New Roman" w:hAnsi="Times New Roman" w:eastAsia="한양신명조"/>
        </w:rPr>
        <w:t xml:space="preserve"> P.-L. Chen and C. Chen, "Effect of dimension on thermal expansion of Cu pads in SiO</w:t>
      </w:r>
      <w:r>
        <w:rPr>
          <w:rFonts w:ascii="Times New Roman" w:hAnsi="Times New Roman" w:eastAsia="한양신명조"/>
          <w:vertAlign w:val="subscript"/>
        </w:rPr>
        <w:t>2</w:t>
      </w:r>
      <w:r>
        <w:rPr>
          <w:rFonts w:ascii="Times New Roman" w:hAnsi="Times New Roman" w:eastAsia="한양신명조"/>
        </w:rPr>
        <w:t xml:space="preserve"> vias for 3D IC fine-pitch hybrid bonding," in </w:t>
      </w:r>
      <w:r>
        <w:rPr>
          <w:rFonts w:ascii="Times New Roman" w:hAnsi="Times New Roman" w:eastAsia="한양신명조"/>
          <w:i/>
        </w:rPr>
        <w:t>Proc. IEEE 75th Electron. Compon. Technol. Conf. (ECTC)</w:t>
      </w:r>
      <w:r>
        <w:rPr>
          <w:rFonts w:ascii="Times New Roman" w:hAnsi="Times New Roman" w:eastAsia="한양신명조"/>
        </w:rPr>
        <w:t>, Dallas, TX, USA, May 2025, doi:10.1109/ECTC51687.2025.00329.</w:t>
      </w:r>
    </w:p>
    <w:p>
      <w:pPr>
        <w:pStyle w:val="af5"/>
      </w:pPr>
      <w:r>
        <w:rPr>
          <w:rFonts w:ascii="Times New Roman" w:hAnsi="Times New Roman" w:eastAsia="한양신명조"/>
        </w:rPr>
        <w:t>[7]</w:t>
      </w:r>
      <w:r>
        <w:rPr>
          <w:rFonts w:ascii="Times New Roman" w:hAnsi="Times New Roman" w:eastAsia="한양신명조"/>
        </w:rPr>
        <w:t xml:space="preserve"> J. De Messemaeker et al., "Simulation of bulge-out mechanism enabling sub-0.5 µm scaling of hybrid wafer-to-wafer bonding," in </w:t>
      </w:r>
      <w:r>
        <w:rPr>
          <w:rFonts w:ascii="Times New Roman" w:hAnsi="Times New Roman" w:eastAsia="한양신명조"/>
          <w:i/>
        </w:rPr>
        <w:t>Proc. IEEE ECTC</w:t>
      </w:r>
      <w:r>
        <w:rPr>
          <w:rFonts w:ascii="Times New Roman" w:hAnsi="Times New Roman" w:eastAsia="한양신명조"/>
        </w:rPr>
        <w:t>, 2024.</w:t>
      </w:r>
    </w:p>
    <w:p>
      <w:pPr>
        <w:pStyle w:val="af5"/>
      </w:pPr>
      <w:r>
        <w:rPr>
          <w:rFonts w:ascii="Times New Roman" w:hAnsi="Times New Roman" w:eastAsia="한양신명조"/>
        </w:rPr>
        <w:t>[8]</w:t>
      </w:r>
      <w:r>
        <w:rPr>
          <w:rFonts w:ascii="Times New Roman" w:hAnsi="Times New Roman" w:eastAsia="한양신명조"/>
        </w:rPr>
        <w:t xml:space="preserve"> D. B. Butrymowicz, J. R. Manning, and M. E. Read, "Diffusion in copper and copper alloys, Part I," </w:t>
      </w:r>
      <w:r>
        <w:rPr>
          <w:rFonts w:ascii="Times New Roman" w:hAnsi="Times New Roman" w:eastAsia="한양신명조"/>
          <w:i/>
        </w:rPr>
        <w:t>J. Phys. Chem. Ref. Data</w:t>
      </w:r>
      <w:r>
        <w:rPr>
          <w:rFonts w:ascii="Times New Roman" w:hAnsi="Times New Roman" w:eastAsia="한양신명조"/>
        </w:rPr>
        <w:t>, vol. 2, pp. 643–655, 1973.</w:t>
      </w:r>
    </w:p>
    <w:p>
      <w:pPr>
        <w:pStyle w:val="af5"/>
      </w:pPr>
      <w:r>
        <w:rPr>
          <w:rFonts w:ascii="Times New Roman" w:hAnsi="Times New Roman" w:eastAsia="한양신명조"/>
        </w:rPr>
        <w:t>[9]</w:t>
      </w:r>
      <w:r>
        <w:rPr>
          <w:rFonts w:ascii="Times New Roman" w:hAnsi="Times New Roman" w:eastAsia="한양신명조"/>
        </w:rPr>
        <w:t xml:space="preserve"> S. Van Huylenbroeck et al., "Wafer to wafer hybrid bonding pitch scaling challenges (Invited)," in </w:t>
      </w:r>
      <w:r>
        <w:rPr>
          <w:rFonts w:ascii="Times New Roman" w:hAnsi="Times New Roman" w:eastAsia="한양신명조"/>
          <w:i/>
        </w:rPr>
        <w:t>Proc. IEEE Int. Reliab. Phys. Symp. (IRPS)</w:t>
      </w:r>
      <w:r>
        <w:rPr>
          <w:rFonts w:ascii="Times New Roman" w:hAnsi="Times New Roman" w:eastAsia="한양신명조"/>
        </w:rPr>
        <w:t>, Tucson, AZ, USA, Mar. 2026, doi:10.1109/IRPS61424.2026.11499286.</w:t>
      </w:r>
    </w:p>
    <w:sectPr w:rsidR="00A77F1A">
      <w:type w:val="continuous"/>
      <w:headerReference w:type="default" r:id="rId10"/>
      <w:footerReference w:type="default" r:id="rId11"/>
      <w:footnotePr>
        <w:numFmt w:val="lowerRoman"/>
        <w:numRestart w:val="eachPage"/>
      </w:footnotePr>
      <w:endnotePr>
        <w:numFmt w:val="decimal"/>
      </w:endnotePr>
      <w:pgSz w:w="11906" w:h="16838"/>
      <w:pgMar w:top="1984" w:right="1135" w:bottom="1138" w:left="1134" w:header="1134" w:footer="571" w:gutter="0"/>
      <w:cols w:num="2" w:space="51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F58E3" w:rsidRDefault="00CF58E3">
      <w:pPr>
        <w:spacing w:after="0" w:line="240" w:lineRule="auto"/>
      </w:pPr>
      <w:r>
        <w:separator/>
      </w:r>
    </w:p>
  </w:endnote>
  <w:endnote w:type="continuationSeparator" w:id="0">
    <w:p w:rsidR="00CF58E3" w:rsidRDefault="00CF5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양중고딕">
    <w:altName w:val="바탕"/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altName w:val="바탕"/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F1A" w:rsidRDefault="00A77F1A">
    <w:pPr>
      <w:pStyle w:val="a3"/>
      <w:wordWrap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F58E3" w:rsidRDefault="00CF58E3">
      <w:pPr>
        <w:spacing w:after="0" w:line="240" w:lineRule="auto"/>
      </w:pPr>
      <w:r>
        <w:separator/>
      </w:r>
    </w:p>
  </w:footnote>
  <w:footnote w:type="continuationSeparator" w:id="0">
    <w:p w:rsidR="00CF58E3" w:rsidRDefault="00CF58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F1A" w:rsidRDefault="00CF58E3">
    <w:pPr>
      <w:pStyle w:val="af"/>
      <w:tabs>
        <w:tab w:val="center" w:pos="5150"/>
        <w:tab w:val="right" w:pos="10150"/>
      </w:tabs>
      <w:jc w:val="right"/>
    </w:pPr>
    <w:r>
      <w:fldChar w:fldCharType="begin"/>
    </w:r>
    <w:r>
      <w:instrText>PAGE  \* ARABIC</w:instrText>
    </w:r>
    <w:r>
      <w:fldChar w:fldCharType="separate"/>
    </w:r>
    <w:r w:rsidR="00451151">
      <w:rPr>
        <w:noProof/>
      </w:rPr>
      <w:t>1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5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49"/>
  </w:hdrShapeDefaults>
  <w:footnotePr>
    <w:numFmt w:val="lowerRoman"/>
    <w:numRestart w:val="eachPage"/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A77F1A"/>
    <w:rsid w:val="00451151"/>
    <w:rsid w:val="00A77F1A"/>
    <w:rsid w:val="00CF5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pacing w:val="-5"/>
      <w:w w:val="95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한양신명조" w:eastAsia="한양신명조"/>
      <w:color w:val="000000"/>
      <w:spacing w:val="-5"/>
      <w:w w:val="95"/>
    </w:rPr>
  </w:style>
  <w:style w:type="paragraph" w:customStyle="1" w:styleId="a5">
    <w:name w:val="각 장 제목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300" w:line="384" w:lineRule="auto"/>
      <w:jc w:val="center"/>
      <w:textAlignment w:val="baseline"/>
    </w:pPr>
    <w:rPr>
      <w:rFonts w:ascii="HY중고딕" w:eastAsia="HY중고딕"/>
      <w:b/>
      <w:color w:val="000000"/>
      <w:spacing w:val="-11"/>
      <w:sz w:val="22"/>
    </w:rPr>
  </w:style>
  <w:style w:type="paragraph" w:customStyle="1" w:styleId="a6">
    <w:name w:val="각 절 제목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HY중고딕" w:eastAsia="HY중고딕"/>
      <w:color w:val="000000"/>
      <w:spacing w:val="-5"/>
      <w:w w:val="95"/>
      <w:sz w:val="22"/>
    </w:rPr>
  </w:style>
  <w:style w:type="paragraph" w:customStyle="1" w:styleId="a7">
    <w:name w:val="각 항 제목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HY중고딕" w:eastAsia="HY중고딕"/>
      <w:color w:val="000000"/>
      <w:spacing w:val="-5"/>
      <w:w w:val="95"/>
    </w:rPr>
  </w:style>
  <w:style w:type="paragraph" w:customStyle="1" w:styleId="a8">
    <w:name w:val="그림/표 제목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408"/>
        <w:tab w:val="left" w:pos="686"/>
        <w:tab w:val="left" w:pos="756"/>
      </w:tabs>
      <w:wordWrap w:val="0"/>
      <w:autoSpaceDE w:val="0"/>
      <w:autoSpaceDN w:val="0"/>
      <w:snapToGrid w:val="0"/>
      <w:spacing w:after="0" w:line="312" w:lineRule="auto"/>
      <w:ind w:left="680" w:hanging="680"/>
      <w:textAlignment w:val="baseline"/>
    </w:pPr>
    <w:rPr>
      <w:rFonts w:ascii="한양중고딕" w:eastAsia="한양중고딕"/>
      <w:color w:val="000000"/>
      <w:spacing w:val="-5"/>
      <w:w w:val="95"/>
    </w:rPr>
  </w:style>
  <w:style w:type="paragraph" w:customStyle="1" w:styleId="a9">
    <w:name w:val="한글제목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360" w:after="160" w:line="384" w:lineRule="auto"/>
      <w:jc w:val="center"/>
      <w:textAlignment w:val="baseline"/>
    </w:pPr>
    <w:rPr>
      <w:rFonts w:ascii="한양신명조" w:eastAsia="한양신명조"/>
      <w:color w:val="000000"/>
      <w:spacing w:val="-20"/>
      <w:w w:val="90"/>
      <w:sz w:val="40"/>
    </w:rPr>
  </w:style>
  <w:style w:type="paragraph" w:customStyle="1" w:styleId="aa">
    <w:name w:val="영문제목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280" w:line="312" w:lineRule="auto"/>
      <w:ind w:left="200" w:right="200"/>
      <w:jc w:val="center"/>
      <w:textAlignment w:val="baseline"/>
    </w:pPr>
    <w:rPr>
      <w:rFonts w:ascii="한양신명조" w:eastAsia="한양신명조"/>
      <w:color w:val="000000"/>
      <w:w w:val="90"/>
      <w:sz w:val="30"/>
    </w:rPr>
  </w:style>
  <w:style w:type="paragraph" w:customStyle="1" w:styleId="ab">
    <w:name w:val="한글저자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60" w:line="408" w:lineRule="auto"/>
      <w:jc w:val="center"/>
      <w:textAlignment w:val="baseline"/>
    </w:pPr>
    <w:rPr>
      <w:rFonts w:ascii="한양신명조" w:eastAsia="한양신명조"/>
      <w:color w:val="000000"/>
      <w:sz w:val="24"/>
    </w:rPr>
  </w:style>
  <w:style w:type="paragraph" w:customStyle="1" w:styleId="ac">
    <w:name w:val="영문저자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280" w:line="408" w:lineRule="auto"/>
      <w:jc w:val="center"/>
      <w:textAlignment w:val="baseline"/>
    </w:pPr>
    <w:rPr>
      <w:rFonts w:ascii="한양신명조" w:eastAsia="한양신명조"/>
      <w:color w:val="000000"/>
      <w:spacing w:val="-11"/>
      <w:sz w:val="22"/>
    </w:rPr>
  </w:style>
  <w:style w:type="paragraph" w:customStyle="1" w:styleId="ad">
    <w:name w:val="요약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40" w:line="408" w:lineRule="auto"/>
      <w:jc w:val="center"/>
      <w:textAlignment w:val="baseline"/>
    </w:pPr>
    <w:rPr>
      <w:rFonts w:ascii="한양중고딕" w:eastAsia="한양중고딕"/>
      <w:color w:val="000000"/>
    </w:rPr>
  </w:style>
  <w:style w:type="paragraph" w:customStyle="1" w:styleId="ae">
    <w:name w:val="요약본문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320" w:line="312" w:lineRule="auto"/>
      <w:ind w:left="340" w:right="340" w:firstLine="200"/>
      <w:textAlignment w:val="baseline"/>
    </w:pPr>
    <w:rPr>
      <w:rFonts w:ascii="한양신명조" w:eastAsia="한양신명조"/>
      <w:color w:val="000000"/>
      <w:spacing w:val="-4"/>
      <w:w w:val="95"/>
      <w:sz w:val="18"/>
    </w:rPr>
  </w:style>
  <w:style w:type="paragraph" w:customStyle="1" w:styleId="Abstract">
    <w:name w:val="Abstract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40" w:line="408" w:lineRule="auto"/>
      <w:ind w:left="500" w:right="500"/>
      <w:jc w:val="center"/>
      <w:textAlignment w:val="baseline"/>
    </w:pPr>
    <w:rPr>
      <w:rFonts w:ascii="바탕" w:eastAsia="바탕"/>
      <w:b/>
      <w:color w:val="000000"/>
    </w:rPr>
  </w:style>
  <w:style w:type="paragraph" w:customStyle="1" w:styleId="af">
    <w:name w:val="머릿말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center" w:pos="3972"/>
        <w:tab w:val="right" w:pos="8568"/>
      </w:tabs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HY중고딕" w:eastAsia="HY중고딕"/>
      <w:color w:val="000000"/>
      <w:w w:val="90"/>
      <w:sz w:val="18"/>
    </w:rPr>
  </w:style>
  <w:style w:type="paragraph" w:customStyle="1" w:styleId="af0">
    <w:name w:val="꼬리말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한양중고딕" w:eastAsia="한양중고딕"/>
      <w:color w:val="000000"/>
      <w:spacing w:val="4"/>
      <w:w w:val="90"/>
      <w:sz w:val="16"/>
    </w:rPr>
  </w:style>
  <w:style w:type="paragraph" w:customStyle="1" w:styleId="af1">
    <w:name w:val="쪽 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견고딕" w:eastAsia="한양견고딕"/>
      <w:color w:val="000000"/>
    </w:rPr>
  </w:style>
  <w:style w:type="paragraph" w:customStyle="1" w:styleId="af2">
    <w:name w:val="각주내용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f3">
    <w:name w:val="논문번호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autoSpaceDE w:val="0"/>
      <w:autoSpaceDN w:val="0"/>
      <w:snapToGrid w:val="0"/>
      <w:spacing w:line="240" w:lineRule="auto"/>
      <w:jc w:val="left"/>
      <w:textAlignment w:val="baseline"/>
    </w:pPr>
    <w:rPr>
      <w:rFonts w:ascii="HY중고딕" w:eastAsia="HY중고딕"/>
      <w:color w:val="000000"/>
      <w:spacing w:val="5"/>
      <w:w w:val="95"/>
    </w:rPr>
  </w:style>
  <w:style w:type="character" w:customStyle="1" w:styleId="Keywords">
    <w:name w:val="Keywords제목"/>
    <w:uiPriority w:val="18"/>
    <w:rPr>
      <w:rFonts w:ascii="한양견명조" w:eastAsia="한양견명조"/>
      <w:color w:val="000000"/>
      <w:w w:val="95"/>
      <w:sz w:val="18"/>
    </w:rPr>
  </w:style>
  <w:style w:type="character" w:customStyle="1" w:styleId="Keywords0">
    <w:name w:val="Keywords내용"/>
    <w:uiPriority w:val="19"/>
    <w:rPr>
      <w:rFonts w:ascii="한양신명조" w:eastAsia="한양신명조"/>
      <w:color w:val="000000"/>
      <w:w w:val="95"/>
      <w:sz w:val="18"/>
    </w:rPr>
  </w:style>
  <w:style w:type="character" w:customStyle="1" w:styleId="af4">
    <w:name w:val="참고문헌번호"/>
    <w:uiPriority w:val="20"/>
    <w:rPr>
      <w:rFonts w:ascii="돋움" w:eastAsia="돋움"/>
      <w:color w:val="000000"/>
      <w:sz w:val="18"/>
      <w:vertAlign w:val="superscript"/>
    </w:rPr>
  </w:style>
  <w:style w:type="paragraph" w:customStyle="1" w:styleId="af5">
    <w:name w:val="참고문헌내용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360" w:hanging="360"/>
      <w:textAlignment w:val="baseline"/>
    </w:pPr>
    <w:rPr>
      <w:rFonts w:ascii="한양신명조" w:eastAsia="한양신명조"/>
      <w:color w:val="000000"/>
      <w:spacing w:val="-5"/>
      <w:w w:val="95"/>
    </w:rPr>
  </w:style>
  <w:style w:type="character" w:customStyle="1" w:styleId="-">
    <w:name w:val="저자소개-이름"/>
    <w:uiPriority w:val="22"/>
    <w:rPr>
      <w:rFonts w:ascii="한양중고딕" w:eastAsia="한양중고딕"/>
      <w:color w:val="000000"/>
      <w:sz w:val="22"/>
    </w:rPr>
  </w:style>
  <w:style w:type="paragraph" w:customStyle="1" w:styleId="-0">
    <w:name w:val="저자소개-약력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f6">
    <w:name w:val="수식번호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408"/>
        <w:tab w:val="left" w:pos="686"/>
        <w:tab w:val="left" w:pos="756"/>
      </w:tabs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pacing w:val="-5"/>
      <w:w w:val="95"/>
      <w:sz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347</Words>
  <Characters>1984</Characters>
  <Application>Microsoft Office Word</Application>
  <DocSecurity>0</DocSecurity>
  <Lines>16</Lines>
  <Paragraphs>4</Paragraphs>
  <ScaleCrop>false</ScaleCrop>
  <Company/>
  <LinksUpToDate>false</LinksUpToDate>
  <CharactersWithSpaces>2327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lastModifiedBy/>
  <cp:revision>2</cp:revision>
  <dcterms:created xsi:type="dcterms:W3CDTF">2002-02-07T08:08:00Z</dcterms:created>
  <dcterms:modified xsi:type="dcterms:W3CDTF">2021-07-30T01:40:00Z</dcterms:modified>
  <cp:keywords/>
  <dc:description/>
  <cp:category/>
</cp:coreProperties>
</file>