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284C7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2332"/>
          <w:sz w:val="26"/>
          <w:szCs w:val="26"/>
        </w:rPr>
        <w:t xml:space="preserve">Experience</w:t>
      </w:r>
    </w:p>
    <w:p>
      <w:pPr>
        <w:tabs>
          <w:tab w:val="right" w:pos="9360"/>
        </w:tabs>
        <w:spacing w:after="60" w:before="20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Co-founder &amp; Education Coordinator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  ·  </w:t>
      </w:r>
      <w:r>
        <w:rPr>
          <w:rFonts w:ascii="Arial" w:cs="Arial" w:eastAsia="Arial" w:hAnsi="Arial"/>
          <w:color w:val="0284C7"/>
          <w:sz w:val="22"/>
          <w:szCs w:val="22"/>
        </w:rPr>
        <w:t xml:space="preserve">Newcastle GameDev Society</w:t>
      </w: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	2024 – Present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0284C7"/>
          <w:sz w:val="20"/>
          <w:szCs w:val="20"/>
        </w:rPr>
        <w:t xml:space="preserve">Newcastle University Student Society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32"/>
          <w:sz w:val="20"/>
          <w:szCs w:val="20"/>
        </w:rPr>
        <w:t xml:space="preserve">Co-founded the society from the ground up, establishing its structure, governance, and community presence within the university.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32"/>
          <w:sz w:val="20"/>
          <w:szCs w:val="20"/>
        </w:rPr>
        <w:t xml:space="preserve">Designed and led educational workshops and sessions covering game development fundamentals, tools (Unity, Unreal Engine), and programming practices for members at all skill levels.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32"/>
          <w:sz w:val="20"/>
          <w:szCs w:val="20"/>
        </w:rPr>
        <w:t xml:space="preserve">Organised and facilitated regular game jams, collaborative projects, and speaker events to build an active and inclusive developer community.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32"/>
          <w:sz w:val="20"/>
          <w:szCs w:val="20"/>
        </w:rPr>
        <w:t xml:space="preserve">Managed member onboarding, curriculum planning, and coordination with the university students' union.</w:t>
      </w:r>
    </w:p>
    <w:p>
      <w:pPr>
        <w:spacing w:after="0" w:before="0"/>
      </w:pPr>
      <w:r>
        <w:t xml:space="preserve"/>
      </w:r>
    </w:p>
    <w:p>
      <w:pPr>
        <w:pBdr>
          <w:bottom w:val="single" w:color="0284C7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2332"/>
          <w:sz w:val="26"/>
          <w:szCs w:val="26"/>
        </w:rPr>
        <w:t xml:space="preserve">Projects</w:t>
      </w:r>
    </w:p>
    <w:p>
      <w:pPr>
        <w:tabs>
          <w:tab w:val="right" w:pos="9360"/>
        </w:tabs>
        <w:spacing w:after="60" w:before="20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Data Visualisation &amp; HCI Dissertation</w:t>
      </w: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	2024 – 2025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0284C7"/>
          <w:sz w:val="20"/>
          <w:szCs w:val="20"/>
        </w:rPr>
        <w:t xml:space="preserve">Final Year Research Project — University Dissertation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32"/>
          <w:sz w:val="20"/>
          <w:szCs w:val="20"/>
        </w:rPr>
        <w:t xml:space="preserve">Designed and developed an interactive data visualisation tool as the primary research artefact, with a focus on usability and human-computer interaction principles.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32"/>
          <w:sz w:val="20"/>
          <w:szCs w:val="20"/>
        </w:rPr>
        <w:t xml:space="preserve">Conducted a structured user study to evaluate the effectiveness of different visualisation approaches, gathering qualitative and quantitative data from participants.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32"/>
          <w:sz w:val="20"/>
          <w:szCs w:val="20"/>
        </w:rPr>
        <w:t xml:space="preserve">Analysed study results to draw conclusions on how visual design decisions affect user comprehension, task performance, and cognitive load.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32"/>
          <w:sz w:val="20"/>
          <w:szCs w:val="20"/>
        </w:rPr>
        <w:t xml:space="preserve">Produced a full academic dissertation documenting methodology, literature review, implementation, findings, and discussion.</w:t>
      </w:r>
    </w:p>
    <w:p>
      <w:pPr>
        <w:spacing w:after="0" w:before="0"/>
      </w:pPr>
      <w:r>
        <w:t xml:space="preserve"/>
      </w:r>
    </w:p>
    <w:p>
      <w:pPr>
        <w:tabs>
          <w:tab w:val="right" w:pos="9360"/>
        </w:tabs>
        <w:spacing w:after="60" w:before="20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4v4 Turn-Based Combat System</w:t>
      </w: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	2024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0284C7"/>
          <w:sz w:val="20"/>
          <w:szCs w:val="20"/>
        </w:rPr>
        <w:t xml:space="preserve">Game Development — Personal / Society Project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32"/>
          <w:sz w:val="20"/>
          <w:szCs w:val="20"/>
        </w:rPr>
        <w:t xml:space="preserve">Architected and implemented a complex 4v4 turn-based combat system inspired by Darkest Dungeon, supporting party management, positional mechanics, and turn ordering.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32"/>
          <w:sz w:val="20"/>
          <w:szCs w:val="20"/>
        </w:rPr>
        <w:t xml:space="preserve">Designed a flexible ability and status-effect system allowing characters to apply buffs, debuffs, and positional effects across multiple targets.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32"/>
          <w:sz w:val="20"/>
          <w:szCs w:val="20"/>
        </w:rPr>
        <w:t xml:space="preserve">Implemented enemy AI with turn-taking logic and target prioritisation to create challenging and varied combat encounters.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32"/>
          <w:sz w:val="20"/>
          <w:szCs w:val="20"/>
        </w:rPr>
        <w:t xml:space="preserve">Built a clean separation between game logic and UI to allow the system to be extended or ported independently of the presentation layer.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2026-06-02T19:08:24.682Z</dcterms:created>
  <dcterms:modified xsi:type="dcterms:W3CDTF">2026-06-02T19:08:24.682Z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