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Нижнетагильский государственный социально-педагогический институт (филиал) федерального государственного автономного образовательного учреждения высшего образования «Российский государственный профессионально-педагогический университет»</w:t>
      </w:r>
    </w:p>
    <w:p>
      <w:pPr>
        <w:jc w:val="center"/>
      </w:pPr>
      <w:r>
        <w:rPr>
          <w:b w:val="1"/>
          <w:bCs w:val="1"/>
        </w:rPr>
        <w:t xml:space="preserve">Справка</w:t>
      </w:r>
    </w:p>
    <w:p>
      <w:pPr>
        <w:jc w:val="center"/>
      </w:pPr>
      <w:r>
        <w:rPr/>
        <w:t xml:space="preserve">о материально-техническом обеспечении основной образовательной программы высшего образования - программы бакалавриата 09.03.03 Прикладная информатика, профиль «Прикладная информатика в экономике», набор 2020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blHeader w:val="1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 п\п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дисциплины (модуля), практик в соответствии с учебным планом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специальных*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Оснащенность специальных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Перечень лицензионного программного обеспечения. Реквизиты подтверждающего документа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фыпфуцпфц4уп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аудитория для проведения практических занятий фпафупфуцп 12412412asgasg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посадочных мест: 12
рабочих мест: 12
маркерная доска: ✓
рабочее место преподавателя: ×
интерактивная доска: ✓
проектор: 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asdgega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фыпфупу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аудитория для проведения практических занятий фпафупфуцп 12412412asgasg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посадочных мест: 12
рабочих мест: 12
маркерная доска: ✓
рабочее место преподавателя: ×
интерактивная доска: ✓
проектор: 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asdgega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фыпфупу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аудитория для проведения лекционных занятий фыафыа 2152366asgasg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посадочных мест: 12512
рабочих мест: 124124
маркерная доска: ×
рабочее место преподавателя: ×
интерактивная доска: ✓
проектор: 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n" w:hAnsi="Time New Roman" w:eastAsia="Time New Roman" w:cs="Time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