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TNHH KỸ THUẬT LÊ QUÂN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0305704480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NGUYỄN VĂN SÂM 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295 Chợ Lớn, Phường 11, Quận 6, Thành phố Hồ Chí Minh,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25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NGUYỄN VĂN SÂM 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