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SẢN XUẤT CƠ KHÍ BÌNH MINH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0106854682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Cụm 10, Xã Liên Hiệp, Huyện Phúc Thọ,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LÊ QUÝ HÙNG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LÊ QUÝ HÙNG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