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XÂY DỰNG THƯƠNG MẠI VÀ VẬN TẢI LỘC HẠNH</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0105399494</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NHƯ QUYẾN</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001081029327</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10/5/2021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24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NHƯ QUYẾN</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