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PHÒNG TÀI NGUYÊN - MÔI TRƯỜNG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5500373062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TK 3 Thị trấn ít ong - Thi trấn ít Ong - Huyện Mường La - Sơn La.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Dương Xuân Nam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Trưởng Phòng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Dương Xuân Nam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