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TRÁCH NHIỆM HỮU HẠN MỘT THÀNH VIÊN XÂY DỰNG PHÁT ĐẠI LỘC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Thửa đất số 246, Tờ bản đồ số 7, Khu phố 4, Thị trấn Tân Thành, Huyện Bắc Tân Uyên, Tỉnh Bình Dương,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3702372533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TRẦN CAO NAM 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TRẦN CAO NAM 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