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12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CÔNG TY TNHH GIẢI PHÁP CHỮ KÝ SỐ DOANH NGHIỆP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0110120081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NGUYỄN KHÁNH QUÂN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Giám đốc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022083005097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20/03/2019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270 Nguyễn Tất Thành, Phường 13, Quận 4, Thành phố Hồ Chí Minh, Việt Nam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NGUYỄN KHÁNH QUÂN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