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21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Trung đoàn 280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9052651344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NGUYỄN XUÂN SINH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Trung đoàn trưởng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98039235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15/11/2019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585, Nguyễn Văn Linh, Sài Đồng, Long Biên, Hà Nội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NGUYỄN XUÂN SINH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