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tokendirector</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tokenposition</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tokenid</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tokendateplace</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tokenplace</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tokendaddress</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tokenname</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tokentaxcode</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tokenaddress</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tokenday </w:t>
            </w:r>
            <w:r w:rsidRPr="00E45626">
              <w:rPr>
                <w:rFonts w:ascii="Arial" w:hAnsi="Arial" w:cs="Arial"/>
                <w:sz w:val="20"/>
                <w:szCs w:val="22"/>
              </w:rPr>
              <w:t>tháng</w:t>
            </w:r>
            <w:r>
              <w:rPr>
                <w:rFonts w:ascii="Arial" w:hAnsi="Arial" w:cs="Arial"/>
                <w:sz w:val="20"/>
                <w:szCs w:val="22"/>
              </w:rPr>
              <w:t xml:space="preserve"> tokenmonth </w:t>
            </w:r>
            <w:r w:rsidRPr="00E45626">
              <w:rPr>
                <w:rFonts w:ascii="Arial" w:hAnsi="Arial" w:cs="Arial"/>
                <w:sz w:val="20"/>
                <w:szCs w:val="22"/>
              </w:rPr>
              <w:t xml:space="preserve">năm </w:t>
            </w:r>
            <w:r>
              <w:rPr>
                <w:rFonts w:ascii="Arial" w:hAnsi="Arial" w:cs="Arial"/>
                <w:sz w:val="20"/>
                <w:szCs w:val="22"/>
              </w:rPr>
              <w:t>tokenyear</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tokendirector</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