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tokenname</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tokentaxcode</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tokenaddress</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1pack</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2pack</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1year</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2year</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3year</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4year</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tokendirector</w:t>
      </w:r>
      <w:r>
        <w:tab/>
      </w:r>
      <w:r w:rsidRPr="001315DD">
        <w:t xml:space="preserve">Chức vụ: </w:t>
      </w:r>
      <w:r w:rsidR="003E74B0">
        <w:t>tokenposition</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tokenyear</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tokendirector</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