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E7B" w:rsidRDefault="00513E7B" w:rsidP="00E24256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jc w:val="center"/>
        <w:rPr>
          <w:rFonts w:cs="Times New Roman"/>
          <w:b/>
          <w:color w:val="auto"/>
          <w:lang w:eastAsia="en-US"/>
        </w:rPr>
      </w:pPr>
      <w:r w:rsidRPr="00513E7B">
        <w:rPr>
          <w:rFonts w:cs="Times New Roman"/>
          <w:b/>
          <w:color w:val="auto"/>
          <w:lang w:eastAsia="en-US"/>
        </w:rPr>
        <w:t xml:space="preserve">Bibliographie </w:t>
      </w:r>
      <w:r w:rsidR="00933EDA">
        <w:rPr>
          <w:rFonts w:cs="Times New Roman"/>
          <w:b/>
          <w:color w:val="auto"/>
          <w:lang w:eastAsia="en-US"/>
        </w:rPr>
        <w:t xml:space="preserve">raisonée </w:t>
      </w:r>
      <w:r w:rsidRPr="00513E7B">
        <w:rPr>
          <w:rFonts w:cs="Times New Roman"/>
          <w:b/>
          <w:color w:val="auto"/>
          <w:lang w:eastAsia="en-US"/>
        </w:rPr>
        <w:t>d</w:t>
      </w:r>
      <w:r w:rsidR="00E24256">
        <w:rPr>
          <w:rFonts w:cs="Times New Roman"/>
          <w:b/>
          <w:color w:val="auto"/>
          <w:lang w:eastAsia="en-US"/>
        </w:rPr>
        <w:t xml:space="preserve">e </w:t>
      </w:r>
      <w:r w:rsidRPr="00104885">
        <w:rPr>
          <w:rFonts w:cs="Times New Roman"/>
          <w:b/>
          <w:i/>
          <w:color w:val="auto"/>
          <w:lang w:eastAsia="en-US"/>
        </w:rPr>
        <w:t>Sufetula</w:t>
      </w:r>
      <w:r w:rsidRPr="00513E7B">
        <w:rPr>
          <w:rFonts w:cs="Times New Roman"/>
          <w:b/>
          <w:color w:val="auto"/>
          <w:lang w:eastAsia="en-US"/>
        </w:rPr>
        <w:t>, Sbeïtla</w:t>
      </w:r>
      <w:r w:rsidR="00E24256">
        <w:rPr>
          <w:rFonts w:cs="Times New Roman"/>
          <w:b/>
          <w:color w:val="auto"/>
          <w:lang w:eastAsia="en-US"/>
        </w:rPr>
        <w:t>.</w:t>
      </w:r>
    </w:p>
    <w:p w:rsidR="00513E7B" w:rsidRDefault="00513E7B" w:rsidP="00513E7B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jc w:val="center"/>
        <w:rPr>
          <w:rFonts w:cs="Times New Roman"/>
          <w:b/>
          <w:color w:val="auto"/>
          <w:lang w:eastAsia="en-US"/>
        </w:rPr>
      </w:pPr>
    </w:p>
    <w:p w:rsidR="00513E7B" w:rsidRPr="00513E7B" w:rsidRDefault="00513E7B" w:rsidP="00513E7B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jc w:val="center"/>
        <w:rPr>
          <w:rFonts w:cs="Times New Roman"/>
          <w:b/>
          <w:color w:val="auto"/>
          <w:lang w:eastAsia="en-US"/>
        </w:rPr>
      </w:pPr>
    </w:p>
    <w:p w:rsidR="00FD12FF" w:rsidRPr="0049195A" w:rsidRDefault="00FD12FF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S. Aounallah, « Le statue juridique de Sbeïtla, antique Sufetula : état de la question, dans Histoire des Hautes Steppes Antiquité- Moyen Age », </w:t>
      </w:r>
      <w:r w:rsidRPr="0049195A">
        <w:rPr>
          <w:rFonts w:cs="Times New Roman"/>
          <w:i/>
          <w:sz w:val="24"/>
          <w:szCs w:val="24"/>
        </w:rPr>
        <w:t>actes du colloque de Sbïtla, sessions, 1998-1999, textes réunis par F. Bejaoui</w:t>
      </w:r>
      <w:r w:rsidRPr="0049195A">
        <w:rPr>
          <w:rFonts w:cs="Times New Roman"/>
          <w:sz w:val="24"/>
          <w:szCs w:val="24"/>
        </w:rPr>
        <w:t>, Institut National du Patrimoine, Tunis 2001, p. 107-114.</w:t>
      </w:r>
    </w:p>
    <w:p w:rsidR="003A2B7E" w:rsidRPr="0049195A" w:rsidRDefault="003A2B7E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53FE8" w:rsidRPr="0049195A" w:rsidRDefault="00C53FE8" w:rsidP="00C53FE8">
      <w:pPr>
        <w:pStyle w:val="Notedebasdepage"/>
        <w:keepNext/>
        <w:keepLines/>
        <w:tabs>
          <w:tab w:val="clear" w:pos="0"/>
          <w:tab w:val="left" w:pos="284"/>
        </w:tabs>
        <w:ind w:left="284" w:right="141"/>
        <w:contextualSpacing/>
        <w:rPr>
          <w:sz w:val="24"/>
          <w:szCs w:val="24"/>
        </w:rPr>
      </w:pPr>
      <w:r w:rsidRPr="0049195A">
        <w:rPr>
          <w:sz w:val="24"/>
          <w:szCs w:val="24"/>
        </w:rPr>
        <w:t xml:space="preserve">P. Barresi, « I Capitolia di Sufetula e di Baelo Claudia : analisi dei progetti », dans </w:t>
      </w:r>
      <w:r w:rsidRPr="0049195A">
        <w:rPr>
          <w:i/>
          <w:sz w:val="24"/>
          <w:szCs w:val="24"/>
        </w:rPr>
        <w:t>Arqueologia de la construccion I, los procesos constructivos en el mundo romano : Italia y Provincias occidentales, (Mérida, Instituto de Arqueologia, 25-26 de Octobre de 2007),</w:t>
      </w:r>
      <w:r w:rsidRPr="0049195A">
        <w:rPr>
          <w:sz w:val="24"/>
          <w:szCs w:val="24"/>
        </w:rPr>
        <w:t xml:space="preserve"> Mérida 2008, p. 259-268, p. 262.</w:t>
      </w:r>
    </w:p>
    <w:p w:rsidR="00C53FE8" w:rsidRPr="0049195A" w:rsidRDefault="00C53FE8" w:rsidP="00C53FE8">
      <w:pPr>
        <w:pStyle w:val="Notedebasdepage"/>
        <w:keepNext/>
        <w:keepLines/>
        <w:tabs>
          <w:tab w:val="clear" w:pos="0"/>
          <w:tab w:val="left" w:pos="284"/>
        </w:tabs>
        <w:ind w:left="284" w:right="141"/>
        <w:contextualSpacing/>
        <w:rPr>
          <w:sz w:val="24"/>
          <w:szCs w:val="24"/>
        </w:rPr>
      </w:pPr>
    </w:p>
    <w:p w:rsidR="00C91F73" w:rsidRPr="0049195A" w:rsidRDefault="00C91F73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>F. Bejaoui, « Nouvelles données archéologiques à Sbeïtla : le système de canalisation », Africa, XIV, 1996, p. 37-47.</w:t>
      </w:r>
    </w:p>
    <w:p w:rsidR="00C91F73" w:rsidRPr="0049195A" w:rsidRDefault="00C91F73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C91F73" w:rsidRPr="0049195A" w:rsidRDefault="00C91F73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>F. Bejaoui, « Une nouvelle église d’époque byzantine à Sbeïtla », dans l’Arica Romana, XII, Atti del XII convegno di studio Olbia, 12-15 dicembre 1996, a cura di M. Khanoussi, P. Ruggeri e C. Vismara, Sassari, 1998, p. 1173-1184.</w:t>
      </w:r>
    </w:p>
    <w:p w:rsidR="00C91F73" w:rsidRPr="0049195A" w:rsidRDefault="00C91F73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C91F73" w:rsidRPr="00FF4EFE" w:rsidRDefault="00C91F73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FF4EFE">
        <w:rPr>
          <w:rFonts w:cs="Times New Roman"/>
          <w:color w:val="FF0000"/>
          <w:sz w:val="24"/>
          <w:szCs w:val="24"/>
        </w:rPr>
        <w:t xml:space="preserve">F. Béjaoui, </w:t>
      </w:r>
      <w:r w:rsidRPr="00FF4EFE">
        <w:rPr>
          <w:rFonts w:cs="Times New Roman"/>
          <w:i/>
          <w:color w:val="FF0000"/>
          <w:sz w:val="24"/>
          <w:szCs w:val="24"/>
        </w:rPr>
        <w:t>Sbeïtla, L’antique Sufetula</w:t>
      </w:r>
      <w:r w:rsidRPr="00FF4EFE">
        <w:rPr>
          <w:rFonts w:cs="Times New Roman"/>
          <w:color w:val="FF0000"/>
          <w:sz w:val="24"/>
          <w:szCs w:val="24"/>
        </w:rPr>
        <w:t>, Agence de mise en valeur du Patrimoine et de Promotion Culturelle, Tunis, 2004.</w:t>
      </w:r>
    </w:p>
    <w:p w:rsidR="00C91F73" w:rsidRPr="0049195A" w:rsidRDefault="00C91F73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E81101" w:rsidRPr="00FF4EFE" w:rsidRDefault="00C91F73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FF4EFE">
        <w:rPr>
          <w:rFonts w:cs="Times New Roman"/>
          <w:color w:val="FF0000"/>
          <w:sz w:val="24"/>
          <w:szCs w:val="24"/>
        </w:rPr>
        <w:t xml:space="preserve">F. Béjaoui, </w:t>
      </w:r>
      <w:r w:rsidRPr="00FF4EFE">
        <w:rPr>
          <w:rFonts w:cs="Times New Roman"/>
          <w:i/>
          <w:color w:val="FF0000"/>
          <w:sz w:val="24"/>
          <w:szCs w:val="24"/>
        </w:rPr>
        <w:t>La Tunisie du centre Ouest, Les hautes steppes</w:t>
      </w:r>
      <w:r w:rsidRPr="00FF4EFE">
        <w:rPr>
          <w:rFonts w:cs="Times New Roman"/>
          <w:color w:val="FF0000"/>
          <w:sz w:val="24"/>
          <w:szCs w:val="24"/>
        </w:rPr>
        <w:t>, Agence de mise en valeur du Patrimoine et de Promotion Culturelle, Tunis, 2010, p. 57-69.</w:t>
      </w:r>
      <w:r w:rsidR="00E81101" w:rsidRPr="00FF4EFE">
        <w:rPr>
          <w:rFonts w:cs="Times New Roman"/>
          <w:color w:val="FF0000"/>
          <w:sz w:val="24"/>
          <w:szCs w:val="24"/>
        </w:rPr>
        <w:t xml:space="preserve"> </w:t>
      </w:r>
    </w:p>
    <w:p w:rsidR="00E81101" w:rsidRPr="0049195A" w:rsidRDefault="00E8110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91F73" w:rsidRDefault="00C91F73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933EDA">
        <w:rPr>
          <w:rFonts w:cs="Times New Roman"/>
          <w:color w:val="FF0000"/>
          <w:sz w:val="24"/>
          <w:szCs w:val="24"/>
        </w:rPr>
        <w:t xml:space="preserve">F. Béjaoui, </w:t>
      </w:r>
      <w:r w:rsidRPr="00933EDA">
        <w:rPr>
          <w:rFonts w:cs="Times New Roman"/>
          <w:i/>
          <w:color w:val="FF0000"/>
          <w:sz w:val="24"/>
          <w:szCs w:val="24"/>
        </w:rPr>
        <w:t>Les Hautes Steppes Tunisiennes, Témoignages archéologique chrétienne</w:t>
      </w:r>
      <w:r w:rsidRPr="00933EDA">
        <w:rPr>
          <w:rFonts w:cs="Times New Roman"/>
          <w:color w:val="FF0000"/>
          <w:sz w:val="24"/>
          <w:szCs w:val="24"/>
        </w:rPr>
        <w:t>, Institut National du Patrimoine, Tunis 2015, p. 57-80.</w:t>
      </w:r>
    </w:p>
    <w:p w:rsidR="00933EDA" w:rsidRDefault="00933EDA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</w:p>
    <w:p w:rsidR="00933EDA" w:rsidRDefault="00933EDA" w:rsidP="00933EDA">
      <w:pPr>
        <w:bidi/>
        <w:spacing w:line="240" w:lineRule="auto"/>
        <w:ind w:firstLine="709"/>
        <w:rPr>
          <w:rFonts w:asciiTheme="majorBidi" w:eastAsia="Times New Roman" w:hAnsiTheme="majorBidi" w:cstheme="majorBidi"/>
          <w:sz w:val="24"/>
          <w:szCs w:val="24"/>
        </w:rPr>
      </w:pPr>
      <w:r w:rsidRPr="006A528F">
        <w:rPr>
          <w:rFonts w:asciiTheme="majorBidi" w:eastAsia="Times New Roman" w:hAnsiTheme="majorBidi" w:cstheme="majorBidi"/>
          <w:color w:val="FF0000"/>
          <w:sz w:val="24"/>
          <w:szCs w:val="24"/>
        </w:rPr>
        <w:t>F. Bejaoui, Le Gouvernorat de Kasserine, son histoire, son patrimoine</w:t>
      </w:r>
      <w:proofErr w:type="gramStart"/>
      <w:r w:rsidRPr="006A528F">
        <w:rPr>
          <w:rFonts w:asciiTheme="majorBidi" w:eastAsia="Times New Roman" w:hAnsiTheme="majorBidi" w:cstheme="majorBidi"/>
          <w:color w:val="FF0000"/>
          <w:sz w:val="24"/>
          <w:szCs w:val="24"/>
        </w:rPr>
        <w:t>,Tunis</w:t>
      </w:r>
      <w:proofErr w:type="gramEnd"/>
      <w:r w:rsidRPr="006A528F">
        <w:rPr>
          <w:rFonts w:asciiTheme="majorBidi" w:eastAsia="Times New Roman" w:hAnsiTheme="majorBidi" w:cstheme="majorBidi"/>
          <w:color w:val="FF0000"/>
          <w:sz w:val="24"/>
          <w:szCs w:val="24"/>
        </w:rPr>
        <w:t>, 2021</w:t>
      </w:r>
      <w:r w:rsidRPr="006A528F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:rsidR="00933EDA" w:rsidRPr="006A528F" w:rsidRDefault="00933EDA" w:rsidP="00933EDA">
      <w:pPr>
        <w:bidi/>
        <w:spacing w:line="240" w:lineRule="auto"/>
        <w:ind w:firstLine="709"/>
        <w:rPr>
          <w:rFonts w:asciiTheme="majorBidi" w:eastAsia="Times New Roman" w:hAnsiTheme="majorBidi" w:cstheme="majorBidi"/>
          <w:sz w:val="24"/>
          <w:szCs w:val="24"/>
        </w:rPr>
      </w:pPr>
    </w:p>
    <w:p w:rsidR="00780E20" w:rsidRPr="0049195A" w:rsidRDefault="00780E20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R. Cagnat, « Rapport sur une mission faite en Tunisie en 1882-1883 », </w:t>
      </w:r>
      <w:r w:rsidRPr="0049195A">
        <w:rPr>
          <w:rFonts w:cs="Times New Roman"/>
          <w:i/>
          <w:sz w:val="24"/>
          <w:szCs w:val="24"/>
        </w:rPr>
        <w:t>Archives des Missions</w:t>
      </w:r>
      <w:r w:rsidRPr="0049195A">
        <w:rPr>
          <w:rFonts w:cs="Times New Roman"/>
          <w:sz w:val="24"/>
          <w:szCs w:val="24"/>
        </w:rPr>
        <w:t>, 3</w:t>
      </w:r>
      <w:r w:rsidRPr="0049195A">
        <w:rPr>
          <w:rFonts w:cs="Times New Roman"/>
          <w:sz w:val="24"/>
          <w:szCs w:val="24"/>
          <w:vertAlign w:val="superscript"/>
        </w:rPr>
        <w:t>e</w:t>
      </w:r>
      <w:r w:rsidRPr="0049195A">
        <w:rPr>
          <w:rFonts w:cs="Times New Roman"/>
          <w:sz w:val="24"/>
          <w:szCs w:val="24"/>
        </w:rPr>
        <w:t xml:space="preserve"> </w:t>
      </w:r>
      <w:proofErr w:type="gramStart"/>
      <w:r w:rsidRPr="0049195A">
        <w:rPr>
          <w:rFonts w:cs="Times New Roman"/>
          <w:sz w:val="24"/>
          <w:szCs w:val="24"/>
        </w:rPr>
        <w:t>s.,</w:t>
      </w:r>
      <w:proofErr w:type="gramEnd"/>
      <w:r w:rsidRPr="0049195A">
        <w:rPr>
          <w:rFonts w:cs="Times New Roman"/>
          <w:sz w:val="24"/>
          <w:szCs w:val="24"/>
        </w:rPr>
        <w:t xml:space="preserve"> XII, 1885, p. 132-146.</w:t>
      </w:r>
    </w:p>
    <w:p w:rsidR="00780E20" w:rsidRPr="0049195A" w:rsidRDefault="00780E2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780E20" w:rsidRPr="0049195A" w:rsidRDefault="00780E2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R. Cagnat,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Rapport sur une mission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en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Tunisie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(1885-1886),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Archives Missions, 3</w:t>
      </w:r>
      <w:r w:rsidRPr="0049195A">
        <w:rPr>
          <w:rFonts w:cs="Times New Roman"/>
          <w:i/>
          <w:iCs/>
          <w:color w:val="auto"/>
          <w:sz w:val="24"/>
          <w:szCs w:val="24"/>
          <w:vertAlign w:val="superscript"/>
          <w:lang w:eastAsia="en-US"/>
        </w:rPr>
        <w:t>e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</w:t>
      </w:r>
      <w:proofErr w:type="gramStart"/>
      <w:r w:rsidRPr="0049195A">
        <w:rPr>
          <w:rFonts w:cs="Times New Roman"/>
          <w:color w:val="auto"/>
          <w:sz w:val="24"/>
          <w:szCs w:val="24"/>
          <w:lang w:eastAsia="en-US"/>
        </w:rPr>
        <w:t>s.,</w:t>
      </w:r>
      <w:proofErr w:type="gramEnd"/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 XIV, 1887, p. 67-70.</w:t>
      </w:r>
    </w:p>
    <w:p w:rsidR="00780E20" w:rsidRPr="0049195A" w:rsidRDefault="00780E20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A1437E" w:rsidRPr="00933EDA" w:rsidRDefault="00A1437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R. Gagnat et H. Saladin, </w:t>
      </w:r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 xml:space="preserve">Voyage en Tunisie, Le Tour du Monde, </w:t>
      </w:r>
      <w:r w:rsidRPr="00933EDA">
        <w:rPr>
          <w:rFonts w:cs="Times New Roman"/>
          <w:color w:val="FF0000"/>
          <w:sz w:val="24"/>
          <w:szCs w:val="24"/>
          <w:lang w:eastAsia="en-US"/>
        </w:rPr>
        <w:t>Hachette, Paris, 1894, p. 127-148.</w:t>
      </w:r>
    </w:p>
    <w:p w:rsidR="00A1437E" w:rsidRPr="0049195A" w:rsidRDefault="00A1437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DA0D2A" w:rsidRPr="00E24256" w:rsidRDefault="00DA0D2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E24256">
        <w:rPr>
          <w:rFonts w:cs="Times New Roman"/>
          <w:color w:val="FF0000"/>
          <w:sz w:val="24"/>
          <w:szCs w:val="24"/>
          <w:lang w:eastAsia="en-US"/>
        </w:rPr>
        <w:t xml:space="preserve">R. Cagnat et P. Gauckler, </w:t>
      </w:r>
      <w:r w:rsidRPr="00E24256">
        <w:rPr>
          <w:rFonts w:cs="Times New Roman"/>
          <w:i/>
          <w:iCs/>
          <w:color w:val="FF0000"/>
          <w:sz w:val="24"/>
          <w:szCs w:val="24"/>
          <w:lang w:eastAsia="en-US"/>
        </w:rPr>
        <w:t xml:space="preserve">Les monuments historiques de Tunisie, </w:t>
      </w:r>
      <w:r w:rsidRPr="00E24256">
        <w:rPr>
          <w:rFonts w:cs="Times New Roman"/>
          <w:color w:val="FF0000"/>
          <w:sz w:val="24"/>
          <w:szCs w:val="24"/>
          <w:lang w:eastAsia="en-US"/>
        </w:rPr>
        <w:t xml:space="preserve">I, Les monuments antiques : 1 : </w:t>
      </w:r>
      <w:r w:rsidRPr="00E24256">
        <w:rPr>
          <w:rFonts w:cs="Times New Roman"/>
          <w:i/>
          <w:iCs/>
          <w:color w:val="FF0000"/>
          <w:sz w:val="24"/>
          <w:szCs w:val="24"/>
          <w:lang w:eastAsia="en-US"/>
        </w:rPr>
        <w:t xml:space="preserve">Les temples païens, </w:t>
      </w:r>
      <w:r w:rsidRPr="00E24256">
        <w:rPr>
          <w:rFonts w:cs="Times New Roman"/>
          <w:color w:val="FF0000"/>
          <w:sz w:val="24"/>
          <w:szCs w:val="24"/>
          <w:lang w:eastAsia="en-US"/>
        </w:rPr>
        <w:t>Paris, 1898, p. 14-18 et pl. VIII-IX ; p. 133-144</w:t>
      </w:r>
    </w:p>
    <w:p w:rsidR="00DA0D2A" w:rsidRPr="0049195A" w:rsidRDefault="00DA0D2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E659ED" w:rsidRPr="0049195A" w:rsidRDefault="00E659ED" w:rsidP="00E659ED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R. Cagnat et A. Merlin</w:t>
      </w:r>
      <w:r>
        <w:rPr>
          <w:rFonts w:cs="Times New Roman"/>
          <w:color w:val="auto"/>
          <w:sz w:val="24"/>
          <w:szCs w:val="24"/>
          <w:lang w:eastAsia="en-US"/>
        </w:rPr>
        <w:t xml:space="preserve">, </w:t>
      </w:r>
      <w:r w:rsidRPr="00E659ED">
        <w:rPr>
          <w:rFonts w:cs="Times New Roman"/>
          <w:i/>
          <w:iCs/>
          <w:color w:val="auto"/>
          <w:sz w:val="24"/>
          <w:szCs w:val="24"/>
          <w:lang w:eastAsia="en-US"/>
        </w:rPr>
        <w:t>Atlas archéologique de la Tunisie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color w:val="auto"/>
          <w:sz w:val="24"/>
          <w:szCs w:val="24"/>
          <w:lang w:eastAsia="en-US"/>
        </w:rPr>
        <w:t>deuxième série au 100 000</w:t>
      </w:r>
      <w:r w:rsidRPr="0049195A">
        <w:rPr>
          <w:rFonts w:cs="Times New Roman"/>
          <w:color w:val="auto"/>
          <w:sz w:val="24"/>
          <w:szCs w:val="24"/>
          <w:vertAlign w:val="superscript"/>
          <w:lang w:eastAsia="en-US"/>
        </w:rPr>
        <w:t>e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, </w:t>
      </w:r>
      <w:r>
        <w:rPr>
          <w:rFonts w:cs="Times New Roman"/>
          <w:color w:val="auto"/>
          <w:sz w:val="24"/>
          <w:szCs w:val="24"/>
          <w:lang w:eastAsia="en-US"/>
        </w:rPr>
        <w:t>feuille XLVIII (S</w:t>
      </w:r>
      <w:r w:rsidRPr="0049195A">
        <w:rPr>
          <w:rFonts w:cs="Times New Roman"/>
          <w:color w:val="auto"/>
          <w:sz w:val="24"/>
          <w:szCs w:val="24"/>
          <w:lang w:eastAsia="en-US"/>
        </w:rPr>
        <w:t>beitla), n°18, avec plan (à jour vers 1920) et notice (1926).</w:t>
      </w:r>
    </w:p>
    <w:p w:rsidR="00D84980" w:rsidRPr="0049195A" w:rsidRDefault="00D8498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A1117A" w:rsidRPr="0049195A" w:rsidRDefault="00A1117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J.-P. Cèbe,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Une fontaine monumentale récemment découverte à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Sufetula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 »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MEFRA, </w:t>
      </w:r>
      <w:r w:rsidRPr="0049195A">
        <w:rPr>
          <w:rFonts w:cs="Times New Roman"/>
          <w:color w:val="auto"/>
          <w:sz w:val="24"/>
          <w:szCs w:val="24"/>
          <w:lang w:eastAsia="en-US"/>
        </w:rPr>
        <w:t>LXIX, 1957, p. 163-206.</w:t>
      </w:r>
    </w:p>
    <w:p w:rsidR="00A138FB" w:rsidRPr="0049195A" w:rsidRDefault="00A138FB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60345D" w:rsidRPr="0049195A" w:rsidRDefault="0060345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  <w:r w:rsidRPr="0049195A">
        <w:rPr>
          <w:rFonts w:cs="Times New Roman"/>
          <w:color w:val="auto"/>
          <w:sz w:val="24"/>
          <w:szCs w:val="24"/>
          <w:lang w:val="en-US" w:eastAsia="en-US"/>
        </w:rPr>
        <w:lastRenderedPageBreak/>
        <w:t xml:space="preserve">N. DAVIS, </w:t>
      </w:r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Ruined Cities </w:t>
      </w:r>
      <w:proofErr w:type="spellStart"/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>wiihin</w:t>
      </w:r>
      <w:proofErr w:type="spellEnd"/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>Numidian</w:t>
      </w:r>
      <w:proofErr w:type="spellEnd"/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 and Carthaginian Territories, </w:t>
      </w:r>
      <w:proofErr w:type="spellStart"/>
      <w:r w:rsidRPr="0049195A">
        <w:rPr>
          <w:rFonts w:cs="Times New Roman"/>
          <w:color w:val="auto"/>
          <w:sz w:val="24"/>
          <w:szCs w:val="24"/>
          <w:lang w:val="en-US" w:eastAsia="en-US"/>
        </w:rPr>
        <w:t>Londres</w:t>
      </w:r>
      <w:proofErr w:type="spellEnd"/>
      <w:r w:rsidRPr="0049195A">
        <w:rPr>
          <w:rFonts w:cs="Times New Roman"/>
          <w:color w:val="auto"/>
          <w:sz w:val="24"/>
          <w:szCs w:val="24"/>
          <w:lang w:val="en-US" w:eastAsia="en-US"/>
        </w:rPr>
        <w:t>, 1862, p. 231-251, appendices I, n°39-47, p. 373-374, appendices IV, p. 389 : n°25-26</w:t>
      </w:r>
    </w:p>
    <w:p w:rsidR="00381F11" w:rsidRPr="0049195A" w:rsidRDefault="00381F11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</w:p>
    <w:p w:rsidR="0069618D" w:rsidRPr="0049195A" w:rsidRDefault="0069618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Ch. Diehl,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Rapport sur deux missions archéologiques dans l’Afrique du Nord »,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Nouv. Arch. Missions, </w:t>
      </w:r>
      <w:r w:rsidRPr="0049195A">
        <w:rPr>
          <w:rFonts w:cs="Times New Roman"/>
          <w:color w:val="auto"/>
          <w:sz w:val="24"/>
          <w:szCs w:val="24"/>
          <w:lang w:eastAsia="en-US"/>
        </w:rPr>
        <w:t>IV, 1894, p. 407-410.</w:t>
      </w:r>
    </w:p>
    <w:p w:rsidR="0069618D" w:rsidRPr="0049195A" w:rsidRDefault="0069618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DC19BF" w:rsidRPr="0049195A" w:rsidRDefault="00A070B2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N. </w:t>
      </w:r>
      <w:r w:rsidR="00DC19BF" w:rsidRPr="0049195A">
        <w:rPr>
          <w:rFonts w:cs="Times New Roman"/>
          <w:color w:val="auto"/>
          <w:sz w:val="24"/>
          <w:szCs w:val="24"/>
          <w:lang w:eastAsia="en-US"/>
        </w:rPr>
        <w:t>Duval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, </w:t>
      </w:r>
      <w:r w:rsidR="00DC19BF" w:rsidRPr="0049195A">
        <w:rPr>
          <w:rFonts w:cs="Times New Roman"/>
          <w:color w:val="auto"/>
          <w:sz w:val="24"/>
          <w:szCs w:val="24"/>
          <w:lang w:eastAsia="en-US"/>
        </w:rPr>
        <w:t>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Trois inscriptions chrétiennes de </w:t>
      </w:r>
      <w:r w:rsidRPr="0049195A">
        <w:rPr>
          <w:rFonts w:cs="Times New Roman"/>
          <w:color w:val="auto"/>
          <w:sz w:val="24"/>
          <w:szCs w:val="24"/>
          <w:lang w:eastAsia="en-US"/>
        </w:rPr>
        <w:t>S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beitla</w:t>
      </w:r>
      <w:r w:rsidR="00DC19BF" w:rsidRPr="0049195A">
        <w:rPr>
          <w:rFonts w:cs="Times New Roman"/>
          <w:iCs/>
          <w:color w:val="auto"/>
          <w:sz w:val="24"/>
          <w:szCs w:val="24"/>
          <w:lang w:eastAsia="en-US"/>
        </w:rPr>
        <w:t> »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Karthago, </w:t>
      </w:r>
      <w:r w:rsidRPr="0049195A">
        <w:rPr>
          <w:rFonts w:cs="Times New Roman"/>
          <w:color w:val="auto"/>
          <w:sz w:val="24"/>
          <w:szCs w:val="24"/>
          <w:lang w:eastAsia="en-US"/>
        </w:rPr>
        <w:t>VI, 1955, p. 76-94</w:t>
      </w:r>
      <w:r w:rsidR="00DC19BF" w:rsidRPr="0049195A">
        <w:rPr>
          <w:rFonts w:cs="Times New Roman"/>
          <w:color w:val="auto"/>
          <w:sz w:val="24"/>
          <w:szCs w:val="24"/>
          <w:lang w:eastAsia="en-US"/>
        </w:rPr>
        <w:t>.</w:t>
      </w:r>
    </w:p>
    <w:p w:rsidR="00DC19BF" w:rsidRPr="0049195A" w:rsidRDefault="00DC19BF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N. Duval, « Nouvelles recherches d’archéologie et d’épigraphie chrétiennes à </w:t>
      </w:r>
      <w:r w:rsidRPr="0049195A">
        <w:rPr>
          <w:rFonts w:cs="Times New Roman"/>
          <w:i/>
          <w:sz w:val="24"/>
          <w:szCs w:val="24"/>
        </w:rPr>
        <w:t>Sufetula</w:t>
      </w:r>
      <w:r w:rsidRPr="0049195A">
        <w:rPr>
          <w:rFonts w:cs="Times New Roman"/>
          <w:sz w:val="24"/>
          <w:szCs w:val="24"/>
        </w:rPr>
        <w:t xml:space="preserve"> (Byzacène) », </w:t>
      </w:r>
      <w:r w:rsidRPr="0049195A">
        <w:rPr>
          <w:rFonts w:cs="Times New Roman"/>
          <w:i/>
          <w:sz w:val="24"/>
          <w:szCs w:val="24"/>
        </w:rPr>
        <w:t>MEFRA</w:t>
      </w:r>
      <w:r w:rsidRPr="0049195A">
        <w:rPr>
          <w:rFonts w:cs="Times New Roman"/>
          <w:sz w:val="24"/>
          <w:szCs w:val="24"/>
        </w:rPr>
        <w:t>, LXVIII, 1956, p. 247-298.</w:t>
      </w: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N. Duval,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Budala, chrétienne de Sbeitla »,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Korthago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VII, 1956, p. 196-198. </w:t>
      </w:r>
    </w:p>
    <w:p w:rsidR="00F504E8" w:rsidRPr="0049195A" w:rsidRDefault="00F504E8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C75091" w:rsidRPr="0049195A" w:rsidRDefault="00C75091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N. Duval,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Luminaire chrétien de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Sbeitla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 et de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Salone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 »,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</w:t>
      </w:r>
      <w:r w:rsidRPr="0049195A">
        <w:rPr>
          <w:rFonts w:cs="Times New Roman"/>
          <w:i/>
          <w:sz w:val="24"/>
          <w:szCs w:val="24"/>
        </w:rPr>
        <w:t>BSNAF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1962, p. 52-63. </w:t>
      </w: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N. Duval,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L’âge de l’évêque Melléus d’Haïdra et du prêtre Vitalis de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Sbeitla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 »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,</w:t>
      </w:r>
      <w:r w:rsidRPr="0049195A">
        <w:rPr>
          <w:rFonts w:cs="Times New Roman"/>
          <w:i/>
          <w:sz w:val="24"/>
          <w:szCs w:val="24"/>
        </w:rPr>
        <w:t xml:space="preserve"> BSNAF, </w:t>
      </w:r>
      <w:r w:rsidRPr="0049195A">
        <w:rPr>
          <w:rFonts w:cs="Times New Roman"/>
          <w:color w:val="auto"/>
          <w:sz w:val="24"/>
          <w:szCs w:val="24"/>
          <w:lang w:eastAsia="en-US"/>
        </w:rPr>
        <w:t>1963, p. 62-68.</w:t>
      </w: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N. Duval,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Observations sur l’urbanisme tardif de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Sufetula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 »,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</w:t>
      </w:r>
      <w:r w:rsidRPr="0049195A">
        <w:rPr>
          <w:rFonts w:cs="Times New Roman"/>
          <w:i/>
          <w:iCs/>
          <w:sz w:val="24"/>
          <w:szCs w:val="24"/>
        </w:rPr>
        <w:t>Actes du IIe</w:t>
      </w:r>
      <w:r w:rsidRPr="0049195A">
        <w:rPr>
          <w:rFonts w:cs="Times New Roman"/>
          <w:b/>
          <w:bCs/>
          <w:i/>
          <w:iCs/>
          <w:sz w:val="24"/>
          <w:szCs w:val="24"/>
        </w:rPr>
        <w:t xml:space="preserve"> </w:t>
      </w:r>
      <w:r w:rsidRPr="0049195A">
        <w:rPr>
          <w:rFonts w:cs="Times New Roman"/>
          <w:i/>
          <w:iCs/>
          <w:sz w:val="24"/>
          <w:szCs w:val="24"/>
        </w:rPr>
        <w:t xml:space="preserve">colloque de la Société archéologique de Sousse (1963),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Cahiers de Tunisie, 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1964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p. 87-103 ;  </w:t>
      </w: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N. Duval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« Le groupe épiscopal de Sbeitla »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i/>
          <w:sz w:val="24"/>
          <w:szCs w:val="24"/>
        </w:rPr>
        <w:t xml:space="preserve">BSNAF, </w:t>
      </w:r>
      <w:r w:rsidRPr="0049195A">
        <w:rPr>
          <w:rFonts w:cs="Times New Roman"/>
          <w:color w:val="auto"/>
          <w:sz w:val="24"/>
          <w:szCs w:val="24"/>
          <w:lang w:eastAsia="en-US"/>
        </w:rPr>
        <w:t>1964, p. 50-57.</w:t>
      </w:r>
    </w:p>
    <w:p w:rsidR="00482230" w:rsidRPr="0049195A" w:rsidRDefault="00482230" w:rsidP="0049195A">
      <w:pPr>
        <w:pStyle w:val="p74"/>
        <w:tabs>
          <w:tab w:val="left" w:pos="284"/>
          <w:tab w:val="left" w:pos="960"/>
        </w:tabs>
        <w:spacing w:line="240" w:lineRule="auto"/>
        <w:ind w:left="284" w:right="141" w:firstLine="0"/>
        <w:jc w:val="both"/>
        <w:rPr>
          <w:sz w:val="24"/>
          <w:lang w:eastAsia="en-US"/>
        </w:rPr>
      </w:pPr>
    </w:p>
    <w:p w:rsidR="00A070B2" w:rsidRPr="0049195A" w:rsidRDefault="00A070B2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N. Duval, </w:t>
      </w:r>
      <w:r w:rsidR="00304CFA" w:rsidRPr="0049195A">
        <w:rPr>
          <w:rFonts w:cs="Times New Roman"/>
          <w:color w:val="auto"/>
          <w:sz w:val="24"/>
          <w:szCs w:val="24"/>
          <w:lang w:eastAsia="en-US"/>
        </w:rPr>
        <w:t>« </w:t>
      </w:r>
      <w:r w:rsidR="00304CFA" w:rsidRPr="0049195A">
        <w:rPr>
          <w:rFonts w:cs="Times New Roman"/>
          <w:sz w:val="24"/>
          <w:szCs w:val="24"/>
        </w:rPr>
        <w:t xml:space="preserve">Observations sur la datation des inscriptions de l’Antiquité tardive en Afrique », </w:t>
      </w:r>
      <w:r w:rsidR="00304CFA" w:rsidRPr="0049195A">
        <w:rPr>
          <w:rFonts w:cs="Times New Roman"/>
          <w:i/>
          <w:sz w:val="24"/>
          <w:szCs w:val="24"/>
        </w:rPr>
        <w:t>BSNAF</w:t>
      </w:r>
      <w:r w:rsidR="00304CFA" w:rsidRPr="0049195A">
        <w:rPr>
          <w:rFonts w:cs="Times New Roman"/>
          <w:sz w:val="24"/>
          <w:szCs w:val="24"/>
        </w:rPr>
        <w:t xml:space="preserve">, </w:t>
      </w:r>
      <w:r w:rsidR="00482230" w:rsidRPr="0049195A">
        <w:rPr>
          <w:rFonts w:cs="Times New Roman"/>
          <w:sz w:val="24"/>
          <w:szCs w:val="24"/>
        </w:rPr>
        <w:t xml:space="preserve">1966,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p. 94-95. </w:t>
      </w:r>
    </w:p>
    <w:p w:rsidR="00C75091" w:rsidRPr="0049195A" w:rsidRDefault="00C75091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482230" w:rsidRPr="0049195A" w:rsidRDefault="0048223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sz w:val="24"/>
          <w:szCs w:val="24"/>
        </w:rPr>
        <w:t xml:space="preserve">N. Duval, « Les églises de </w:t>
      </w:r>
      <w:r w:rsidRPr="0049195A">
        <w:rPr>
          <w:rFonts w:cs="Times New Roman"/>
          <w:i/>
          <w:sz w:val="24"/>
          <w:szCs w:val="24"/>
        </w:rPr>
        <w:t>Sbeitla</w:t>
      </w:r>
      <w:r w:rsidRPr="0049195A">
        <w:rPr>
          <w:rFonts w:cs="Times New Roman"/>
          <w:sz w:val="24"/>
          <w:szCs w:val="24"/>
        </w:rPr>
        <w:t xml:space="preserve"> et </w:t>
      </w:r>
      <w:r w:rsidRPr="0049195A">
        <w:rPr>
          <w:rFonts w:cs="Times New Roman"/>
          <w:i/>
          <w:sz w:val="24"/>
          <w:szCs w:val="24"/>
        </w:rPr>
        <w:t>d'Haïdra</w:t>
      </w:r>
      <w:r w:rsidRPr="0049195A">
        <w:rPr>
          <w:rFonts w:cs="Times New Roman"/>
          <w:sz w:val="24"/>
          <w:szCs w:val="24"/>
        </w:rPr>
        <w:t xml:space="preserve"> (Tunisie), le problème de la contre-abside et le culte des martyrs en Afrique », </w:t>
      </w:r>
      <w:r w:rsidRPr="0049195A">
        <w:rPr>
          <w:rFonts w:cs="Times New Roman"/>
          <w:i/>
          <w:iCs/>
          <w:sz w:val="24"/>
          <w:szCs w:val="24"/>
        </w:rPr>
        <w:t xml:space="preserve">Akten des VII. Internationalen Kongresses für christliche Archéologie. Trier 1965, </w:t>
      </w:r>
      <w:r w:rsidRPr="0049195A">
        <w:rPr>
          <w:rFonts w:cs="Times New Roman"/>
          <w:sz w:val="24"/>
          <w:szCs w:val="24"/>
        </w:rPr>
        <w:t xml:space="preserve">Berlin-Citta del Vaticano, 1969, p. 473-478, </w:t>
      </w:r>
      <w:r w:rsidRPr="0049195A">
        <w:rPr>
          <w:rFonts w:cs="Times New Roman"/>
          <w:color w:val="auto"/>
          <w:sz w:val="24"/>
          <w:szCs w:val="24"/>
          <w:lang w:eastAsia="en-US"/>
        </w:rPr>
        <w:t>et pl. CCXXIV-CCXXVI.</w:t>
      </w:r>
    </w:p>
    <w:p w:rsidR="001D3B7B" w:rsidRDefault="001D3B7B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N. Duval, « Inscriptions de Sbeitla et des environs, (campagne de 1954-1955 et 1963-1966) », </w:t>
      </w:r>
      <w:r w:rsidRPr="0049195A">
        <w:rPr>
          <w:rFonts w:cs="Times New Roman"/>
          <w:i/>
          <w:sz w:val="24"/>
          <w:szCs w:val="24"/>
        </w:rPr>
        <w:t>BCTH</w:t>
      </w:r>
      <w:r w:rsidRPr="0049195A">
        <w:rPr>
          <w:rFonts w:cs="Times New Roman"/>
          <w:sz w:val="24"/>
          <w:szCs w:val="24"/>
        </w:rPr>
        <w:t>, 1970, p. 254-312.</w:t>
      </w: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75091" w:rsidRPr="00933ED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933EDA">
        <w:rPr>
          <w:rFonts w:cs="Times New Roman"/>
          <w:color w:val="FF0000"/>
          <w:sz w:val="24"/>
          <w:szCs w:val="24"/>
        </w:rPr>
        <w:t xml:space="preserve">N. Duval, </w:t>
      </w:r>
      <w:r w:rsidRPr="00933EDA">
        <w:rPr>
          <w:rFonts w:cs="Times New Roman"/>
          <w:i/>
          <w:iCs/>
          <w:color w:val="FF0000"/>
          <w:sz w:val="24"/>
          <w:szCs w:val="24"/>
        </w:rPr>
        <w:t xml:space="preserve">Sbeitla et les églises africaines à deux absides, </w:t>
      </w:r>
      <w:r w:rsidRPr="00933EDA">
        <w:rPr>
          <w:rFonts w:cs="Times New Roman"/>
          <w:i/>
          <w:color w:val="FF0000"/>
          <w:sz w:val="24"/>
          <w:szCs w:val="24"/>
        </w:rPr>
        <w:t xml:space="preserve">I. Les églises de Sbeitla à deux sanctuaires opposés </w:t>
      </w:r>
      <w:r w:rsidRPr="00933EDA">
        <w:rPr>
          <w:rFonts w:cs="Times New Roman"/>
          <w:b/>
          <w:bCs/>
          <w:i/>
          <w:color w:val="FF0000"/>
          <w:sz w:val="24"/>
          <w:szCs w:val="24"/>
        </w:rPr>
        <w:t xml:space="preserve">(= </w:t>
      </w:r>
      <w:r w:rsidRPr="00933EDA">
        <w:rPr>
          <w:rFonts w:cs="Times New Roman"/>
          <w:i/>
          <w:color w:val="FF0000"/>
          <w:sz w:val="24"/>
          <w:szCs w:val="24"/>
        </w:rPr>
        <w:t>Recherches archéologiques à</w:t>
      </w:r>
      <w:r w:rsidRPr="00933EDA">
        <w:rPr>
          <w:rFonts w:cs="Times New Roman"/>
          <w:b/>
          <w:bCs/>
          <w:i/>
          <w:color w:val="FF0000"/>
          <w:sz w:val="24"/>
          <w:szCs w:val="24"/>
        </w:rPr>
        <w:t xml:space="preserve"> </w:t>
      </w:r>
      <w:r w:rsidRPr="00933EDA">
        <w:rPr>
          <w:rFonts w:cs="Times New Roman"/>
          <w:i/>
          <w:color w:val="FF0000"/>
          <w:sz w:val="24"/>
          <w:szCs w:val="24"/>
        </w:rPr>
        <w:t>Sbeitla, I),</w:t>
      </w:r>
      <w:r w:rsidRPr="00933EDA">
        <w:rPr>
          <w:rFonts w:cs="Times New Roman"/>
          <w:color w:val="FF0000"/>
          <w:sz w:val="24"/>
          <w:szCs w:val="24"/>
        </w:rPr>
        <w:t xml:space="preserve"> Paris, De Boccard, </w:t>
      </w:r>
      <w:r w:rsidRPr="00933EDA">
        <w:rPr>
          <w:rFonts w:cs="Times New Roman"/>
          <w:i/>
          <w:iCs/>
          <w:color w:val="FF0000"/>
          <w:sz w:val="24"/>
          <w:szCs w:val="24"/>
        </w:rPr>
        <w:t xml:space="preserve">BEFAR, </w:t>
      </w:r>
      <w:r w:rsidRPr="00933EDA">
        <w:rPr>
          <w:rFonts w:cs="Times New Roman"/>
          <w:color w:val="FF0000"/>
          <w:sz w:val="24"/>
          <w:szCs w:val="24"/>
        </w:rPr>
        <w:t xml:space="preserve">218, 1971. </w:t>
      </w: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N. Duval, « Inscriptions byzantines de Sbeitla (III) », </w:t>
      </w:r>
      <w:r w:rsidRPr="0049195A">
        <w:rPr>
          <w:rFonts w:cs="Times New Roman"/>
          <w:i/>
          <w:sz w:val="24"/>
          <w:szCs w:val="24"/>
        </w:rPr>
        <w:t>MEFRA</w:t>
      </w:r>
      <w:r w:rsidRPr="0049195A">
        <w:rPr>
          <w:rFonts w:cs="Times New Roman"/>
          <w:sz w:val="24"/>
          <w:szCs w:val="24"/>
        </w:rPr>
        <w:t>, LXXXIII, 1971, p. 423-443.</w:t>
      </w: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>N. Duval, « Les fouilles du capitaine Montalier à Sbeitla en 1903 », Cahiers de Tunisie, XIX, 1971, p. 229-241.</w:t>
      </w:r>
    </w:p>
    <w:p w:rsidR="00C75091" w:rsidRPr="0049195A" w:rsidRDefault="00C75091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A070B2" w:rsidRPr="00933EDA" w:rsidRDefault="00A070B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933EDA">
        <w:rPr>
          <w:rFonts w:cs="Times New Roman"/>
          <w:color w:val="FF0000"/>
          <w:sz w:val="24"/>
          <w:szCs w:val="24"/>
        </w:rPr>
        <w:t xml:space="preserve">N. Duval et F. Baratte, </w:t>
      </w:r>
      <w:r w:rsidRPr="00933EDA">
        <w:rPr>
          <w:rFonts w:cs="Times New Roman"/>
          <w:i/>
          <w:color w:val="FF0000"/>
          <w:sz w:val="24"/>
          <w:szCs w:val="24"/>
        </w:rPr>
        <w:t>Les ruines de Sufetula-Sbeitla</w:t>
      </w:r>
      <w:r w:rsidR="00E5468A" w:rsidRPr="00933EDA">
        <w:rPr>
          <w:rFonts w:cs="Times New Roman"/>
          <w:color w:val="FF0000"/>
          <w:sz w:val="24"/>
          <w:szCs w:val="24"/>
        </w:rPr>
        <w:t>,</w:t>
      </w:r>
      <w:r w:rsidRPr="00933EDA">
        <w:rPr>
          <w:rFonts w:cs="Times New Roman"/>
          <w:color w:val="FF0000"/>
          <w:sz w:val="24"/>
          <w:szCs w:val="24"/>
        </w:rPr>
        <w:t xml:space="preserve"> Tunis</w:t>
      </w:r>
      <w:r w:rsidR="00E5468A" w:rsidRPr="00933EDA">
        <w:rPr>
          <w:rFonts w:cs="Times New Roman"/>
          <w:color w:val="FF0000"/>
          <w:sz w:val="24"/>
          <w:szCs w:val="24"/>
        </w:rPr>
        <w:t>,</w:t>
      </w:r>
      <w:r w:rsidRPr="00933EDA">
        <w:rPr>
          <w:rFonts w:cs="Times New Roman"/>
          <w:color w:val="FF0000"/>
          <w:sz w:val="24"/>
          <w:szCs w:val="24"/>
        </w:rPr>
        <w:t xml:space="preserve"> (S.T.D), 1973.</w:t>
      </w:r>
    </w:p>
    <w:p w:rsidR="00A070B2" w:rsidRPr="0049195A" w:rsidRDefault="00A070B2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B716C2" w:rsidRPr="00933EDA" w:rsidRDefault="00B716C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933EDA">
        <w:rPr>
          <w:rFonts w:cs="Times New Roman"/>
          <w:color w:val="FF0000"/>
          <w:sz w:val="24"/>
          <w:szCs w:val="24"/>
        </w:rPr>
        <w:t xml:space="preserve">N. Duval, </w:t>
      </w:r>
      <w:r w:rsidRPr="00933EDA">
        <w:rPr>
          <w:rFonts w:cs="Times New Roman"/>
          <w:i/>
          <w:color w:val="FF0000"/>
          <w:sz w:val="24"/>
          <w:szCs w:val="24"/>
        </w:rPr>
        <w:t>Les églises africaines à deux absides, II, Inventaire des monuments, interprétation,</w:t>
      </w:r>
      <w:r w:rsidRPr="00933EDA">
        <w:rPr>
          <w:rFonts w:cs="Times New Roman"/>
          <w:color w:val="FF0000"/>
          <w:sz w:val="24"/>
          <w:szCs w:val="24"/>
        </w:rPr>
        <w:t xml:space="preserve"> Paris, De Boccard, </w:t>
      </w:r>
      <w:r w:rsidRPr="00933EDA">
        <w:rPr>
          <w:rFonts w:cs="Times New Roman"/>
          <w:i/>
          <w:iCs/>
          <w:color w:val="FF0000"/>
          <w:sz w:val="24"/>
          <w:szCs w:val="24"/>
        </w:rPr>
        <w:t xml:space="preserve">BEFAR, </w:t>
      </w:r>
      <w:r w:rsidRPr="00933EDA">
        <w:rPr>
          <w:rFonts w:cs="Times New Roman"/>
          <w:color w:val="FF0000"/>
          <w:sz w:val="24"/>
          <w:szCs w:val="24"/>
        </w:rPr>
        <w:t xml:space="preserve">218bis, 1973. </w:t>
      </w:r>
    </w:p>
    <w:p w:rsidR="00B716C2" w:rsidRPr="0049195A" w:rsidRDefault="00B716C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C75091" w:rsidRPr="00933EDA" w:rsidRDefault="00C75091" w:rsidP="0049195A">
      <w:pPr>
        <w:pStyle w:val="Notedebasdepage"/>
        <w:keepNext/>
        <w:keepLines/>
        <w:tabs>
          <w:tab w:val="clear" w:pos="0"/>
          <w:tab w:val="left" w:pos="284"/>
        </w:tabs>
        <w:ind w:left="284" w:right="141"/>
        <w:contextualSpacing/>
        <w:rPr>
          <w:color w:val="FF0000"/>
          <w:sz w:val="24"/>
          <w:szCs w:val="24"/>
          <w:lang w:val="de-DE"/>
        </w:rPr>
      </w:pPr>
      <w:r w:rsidRPr="00933EDA">
        <w:rPr>
          <w:color w:val="FF0000"/>
          <w:sz w:val="24"/>
          <w:szCs w:val="24"/>
          <w:lang w:val="de-DE"/>
        </w:rPr>
        <w:lastRenderedPageBreak/>
        <w:t>N. Duval, « </w:t>
      </w:r>
      <w:proofErr w:type="spellStart"/>
      <w:r w:rsidRPr="00933EDA">
        <w:rPr>
          <w:color w:val="FF0000"/>
          <w:sz w:val="24"/>
          <w:szCs w:val="24"/>
          <w:lang w:val="de-DE"/>
        </w:rPr>
        <w:t>L’urbanisme</w:t>
      </w:r>
      <w:proofErr w:type="spellEnd"/>
      <w:r w:rsidRPr="00933EDA">
        <w:rPr>
          <w:color w:val="FF0000"/>
          <w:sz w:val="24"/>
          <w:szCs w:val="24"/>
          <w:lang w:val="de-DE"/>
        </w:rPr>
        <w:t xml:space="preserve"> de </w:t>
      </w:r>
      <w:proofErr w:type="spellStart"/>
      <w:proofErr w:type="gramStart"/>
      <w:r w:rsidRPr="00933EDA">
        <w:rPr>
          <w:i/>
          <w:color w:val="FF0000"/>
          <w:sz w:val="24"/>
          <w:szCs w:val="24"/>
          <w:lang w:val="de-DE"/>
        </w:rPr>
        <w:t>Sufetula</w:t>
      </w:r>
      <w:proofErr w:type="spellEnd"/>
      <w:r w:rsidRPr="00933EDA">
        <w:rPr>
          <w:color w:val="FF0000"/>
          <w:sz w:val="24"/>
          <w:szCs w:val="24"/>
          <w:lang w:val="de-DE"/>
        </w:rPr>
        <w:t> :</w:t>
      </w:r>
      <w:proofErr w:type="gramEnd"/>
      <w:r w:rsidRPr="00933EDA">
        <w:rPr>
          <w:color w:val="FF0000"/>
          <w:sz w:val="24"/>
          <w:szCs w:val="24"/>
          <w:lang w:val="de-DE"/>
        </w:rPr>
        <w:t xml:space="preserve"> </w:t>
      </w:r>
      <w:proofErr w:type="spellStart"/>
      <w:r w:rsidRPr="00933EDA">
        <w:rPr>
          <w:color w:val="FF0000"/>
          <w:sz w:val="24"/>
          <w:szCs w:val="24"/>
          <w:lang w:val="de-DE"/>
        </w:rPr>
        <w:t>Sbeïtla</w:t>
      </w:r>
      <w:proofErr w:type="spellEnd"/>
      <w:r w:rsidRPr="00933EDA">
        <w:rPr>
          <w:color w:val="FF0000"/>
          <w:sz w:val="24"/>
          <w:szCs w:val="24"/>
          <w:lang w:val="de-DE"/>
        </w:rPr>
        <w:t xml:space="preserve"> en </w:t>
      </w:r>
      <w:proofErr w:type="spellStart"/>
      <w:r w:rsidRPr="00933EDA">
        <w:rPr>
          <w:color w:val="FF0000"/>
          <w:sz w:val="24"/>
          <w:szCs w:val="24"/>
          <w:lang w:val="de-DE"/>
        </w:rPr>
        <w:t>Tunisie</w:t>
      </w:r>
      <w:proofErr w:type="spellEnd"/>
      <w:r w:rsidRPr="00933EDA">
        <w:rPr>
          <w:color w:val="FF0000"/>
          <w:sz w:val="24"/>
          <w:szCs w:val="24"/>
          <w:lang w:val="de-DE"/>
        </w:rPr>
        <w:t xml:space="preserve"> », </w:t>
      </w:r>
      <w:r w:rsidRPr="00933EDA">
        <w:rPr>
          <w:i/>
          <w:iCs/>
          <w:color w:val="FF0000"/>
          <w:sz w:val="24"/>
          <w:szCs w:val="24"/>
          <w:lang w:val="de-DE"/>
        </w:rPr>
        <w:t>Aufstieg und Niedergang d</w:t>
      </w:r>
      <w:r w:rsidR="00D45A48" w:rsidRPr="00933EDA">
        <w:rPr>
          <w:i/>
          <w:iCs/>
          <w:color w:val="FF0000"/>
          <w:sz w:val="24"/>
          <w:szCs w:val="24"/>
          <w:lang w:val="de-DE"/>
        </w:rPr>
        <w:t>er</w:t>
      </w:r>
      <w:r w:rsidRPr="00933EDA">
        <w:rPr>
          <w:i/>
          <w:iCs/>
          <w:color w:val="FF0000"/>
          <w:sz w:val="24"/>
          <w:szCs w:val="24"/>
          <w:lang w:val="de-DE"/>
        </w:rPr>
        <w:t xml:space="preserve"> r</w:t>
      </w:r>
      <w:r w:rsidR="00D45A48" w:rsidRPr="00933EDA">
        <w:rPr>
          <w:i/>
          <w:iCs/>
          <w:color w:val="FF0000"/>
          <w:sz w:val="24"/>
          <w:szCs w:val="24"/>
          <w:lang w:val="de-DE"/>
        </w:rPr>
        <w:t>ö</w:t>
      </w:r>
      <w:r w:rsidRPr="00933EDA">
        <w:rPr>
          <w:i/>
          <w:iCs/>
          <w:color w:val="FF0000"/>
          <w:sz w:val="24"/>
          <w:szCs w:val="24"/>
          <w:lang w:val="de-DE"/>
        </w:rPr>
        <w:t>m</w:t>
      </w:r>
      <w:r w:rsidR="00D45A48" w:rsidRPr="00933EDA">
        <w:rPr>
          <w:i/>
          <w:iCs/>
          <w:color w:val="FF0000"/>
          <w:sz w:val="24"/>
          <w:szCs w:val="24"/>
          <w:lang w:val="de-DE"/>
        </w:rPr>
        <w:t xml:space="preserve">ischen </w:t>
      </w:r>
      <w:r w:rsidRPr="00933EDA">
        <w:rPr>
          <w:i/>
          <w:iCs/>
          <w:color w:val="FF0000"/>
          <w:sz w:val="24"/>
          <w:szCs w:val="24"/>
          <w:lang w:val="de-DE"/>
        </w:rPr>
        <w:t>Welt</w:t>
      </w:r>
      <w:r w:rsidRPr="00933EDA">
        <w:rPr>
          <w:i/>
          <w:color w:val="FF0000"/>
          <w:sz w:val="24"/>
          <w:szCs w:val="24"/>
          <w:lang w:val="de-DE"/>
        </w:rPr>
        <w:t xml:space="preserve"> </w:t>
      </w:r>
      <w:r w:rsidR="00D45A48" w:rsidRPr="00933EDA">
        <w:rPr>
          <w:color w:val="FF0000"/>
          <w:sz w:val="24"/>
          <w:szCs w:val="24"/>
          <w:lang w:val="de-DE"/>
        </w:rPr>
        <w:t>(</w:t>
      </w:r>
      <w:r w:rsidRPr="00933EDA">
        <w:rPr>
          <w:color w:val="FF0000"/>
          <w:sz w:val="24"/>
          <w:szCs w:val="24"/>
          <w:lang w:val="de-DE"/>
        </w:rPr>
        <w:t>ANRW</w:t>
      </w:r>
      <w:r w:rsidR="00D45A48" w:rsidRPr="00933EDA">
        <w:rPr>
          <w:color w:val="FF0000"/>
          <w:sz w:val="24"/>
          <w:szCs w:val="24"/>
          <w:lang w:val="de-DE"/>
        </w:rPr>
        <w:t>)</w:t>
      </w:r>
      <w:r w:rsidRPr="00933EDA">
        <w:rPr>
          <w:color w:val="FF0000"/>
          <w:sz w:val="24"/>
          <w:szCs w:val="24"/>
          <w:lang w:val="de-DE"/>
        </w:rPr>
        <w:t xml:space="preserve"> II, 10,2, Berlin-New York</w:t>
      </w:r>
      <w:r w:rsidR="00D45A48" w:rsidRPr="00933EDA">
        <w:rPr>
          <w:color w:val="FF0000"/>
          <w:sz w:val="24"/>
          <w:szCs w:val="24"/>
          <w:lang w:val="de-DE"/>
        </w:rPr>
        <w:t>,</w:t>
      </w:r>
      <w:r w:rsidRPr="00933EDA">
        <w:rPr>
          <w:color w:val="FF0000"/>
          <w:sz w:val="24"/>
          <w:szCs w:val="24"/>
          <w:lang w:val="de-DE"/>
        </w:rPr>
        <w:t xml:space="preserve"> 1982. </w:t>
      </w:r>
    </w:p>
    <w:p w:rsidR="00D45A48" w:rsidRPr="0049195A" w:rsidRDefault="00D45A48" w:rsidP="0049195A">
      <w:pPr>
        <w:pStyle w:val="Notedebasdepage"/>
        <w:keepNext/>
        <w:keepLines/>
        <w:tabs>
          <w:tab w:val="clear" w:pos="0"/>
          <w:tab w:val="left" w:pos="284"/>
        </w:tabs>
        <w:ind w:left="284" w:right="141"/>
        <w:contextualSpacing/>
        <w:rPr>
          <w:sz w:val="24"/>
          <w:szCs w:val="24"/>
          <w:lang w:val="de-DE"/>
        </w:rPr>
      </w:pPr>
    </w:p>
    <w:p w:rsidR="00D45A48" w:rsidRPr="0049195A" w:rsidRDefault="00D45A48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N. Duval, « Xénophon l’ « auteur » à Sbeitla (Tunisie) », </w:t>
      </w:r>
      <w:r w:rsidRPr="0049195A">
        <w:rPr>
          <w:rFonts w:cs="Times New Roman"/>
          <w:i/>
          <w:sz w:val="24"/>
          <w:szCs w:val="24"/>
        </w:rPr>
        <w:t>Bulletin monumental</w:t>
      </w:r>
      <w:r w:rsidRPr="0049195A">
        <w:rPr>
          <w:rFonts w:cs="Times New Roman"/>
          <w:sz w:val="24"/>
          <w:szCs w:val="24"/>
        </w:rPr>
        <w:t>, 143, 1985, p. 78-79.</w:t>
      </w:r>
    </w:p>
    <w:p w:rsidR="00D45A48" w:rsidRPr="0049195A" w:rsidRDefault="00D45A48" w:rsidP="0049195A">
      <w:pPr>
        <w:pStyle w:val="Notedebasdepage"/>
        <w:keepNext/>
        <w:keepLines/>
        <w:tabs>
          <w:tab w:val="clear" w:pos="0"/>
          <w:tab w:val="left" w:pos="284"/>
        </w:tabs>
        <w:ind w:left="284" w:right="141"/>
        <w:contextualSpacing/>
        <w:rPr>
          <w:sz w:val="24"/>
          <w:szCs w:val="24"/>
        </w:rPr>
      </w:pPr>
    </w:p>
    <w:p w:rsidR="00EA0BAD" w:rsidRPr="0049195A" w:rsidRDefault="00A070B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N. Duval, </w:t>
      </w:r>
      <w:r w:rsidR="00806204" w:rsidRPr="0049195A">
        <w:rPr>
          <w:rFonts w:cs="Times New Roman"/>
          <w:sz w:val="24"/>
          <w:szCs w:val="24"/>
        </w:rPr>
        <w:t>« </w:t>
      </w:r>
      <w:r w:rsidRPr="0049195A">
        <w:rPr>
          <w:rFonts w:cs="Times New Roman"/>
          <w:sz w:val="24"/>
          <w:szCs w:val="24"/>
        </w:rPr>
        <w:t>l</w:t>
      </w:r>
      <w:r w:rsidR="00EA0BAD" w:rsidRPr="0049195A">
        <w:rPr>
          <w:rFonts w:cs="Times New Roman"/>
          <w:sz w:val="24"/>
          <w:szCs w:val="24"/>
        </w:rPr>
        <w:t xml:space="preserve">’épigraphie chrétienne de </w:t>
      </w:r>
      <w:r w:rsidR="00EA0BAD" w:rsidRPr="0049195A">
        <w:rPr>
          <w:rFonts w:cs="Times New Roman"/>
          <w:i/>
          <w:sz w:val="24"/>
          <w:szCs w:val="24"/>
        </w:rPr>
        <w:t>Sbeitla</w:t>
      </w:r>
      <w:r w:rsidR="00EA0BAD" w:rsidRPr="0049195A">
        <w:rPr>
          <w:rFonts w:cs="Times New Roman"/>
          <w:sz w:val="24"/>
          <w:szCs w:val="24"/>
        </w:rPr>
        <w:t xml:space="preserve"> (</w:t>
      </w:r>
      <w:r w:rsidR="00EA0BAD" w:rsidRPr="0049195A">
        <w:rPr>
          <w:rFonts w:cs="Times New Roman"/>
          <w:i/>
          <w:sz w:val="24"/>
          <w:szCs w:val="24"/>
        </w:rPr>
        <w:t>Sufetula</w:t>
      </w:r>
      <w:r w:rsidR="00EA0BAD" w:rsidRPr="0049195A">
        <w:rPr>
          <w:rFonts w:cs="Times New Roman"/>
          <w:sz w:val="24"/>
          <w:szCs w:val="24"/>
        </w:rPr>
        <w:t xml:space="preserve">) et son apport historique », </w:t>
      </w:r>
      <w:r w:rsidR="00EA0BAD" w:rsidRPr="0049195A">
        <w:rPr>
          <w:rFonts w:cs="Times New Roman"/>
          <w:i/>
          <w:sz w:val="24"/>
          <w:szCs w:val="24"/>
        </w:rPr>
        <w:t>L’Africa Romana, atti del IV Convegno du Studio, 12-14 dicembre 1986, Sassari, (Italia), a cura di Attilio Mastino</w:t>
      </w:r>
      <w:r w:rsidR="00EA0BAD" w:rsidRPr="0049195A">
        <w:rPr>
          <w:rFonts w:cs="Times New Roman"/>
          <w:sz w:val="24"/>
          <w:szCs w:val="24"/>
        </w:rPr>
        <w:t>, Sassari, 1987, p. 385-414</w:t>
      </w:r>
    </w:p>
    <w:p w:rsidR="00767BA2" w:rsidRPr="0049195A" w:rsidRDefault="00767BA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767BA2" w:rsidRPr="0049195A" w:rsidRDefault="00767BA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N. Duval, « Inventaire des inscriptions latines païennes de </w:t>
      </w:r>
      <w:r w:rsidRPr="0049195A">
        <w:rPr>
          <w:rFonts w:cs="Times New Roman"/>
          <w:i/>
          <w:sz w:val="24"/>
          <w:szCs w:val="24"/>
        </w:rPr>
        <w:t>Sbeitla</w:t>
      </w:r>
      <w:r w:rsidRPr="0049195A">
        <w:rPr>
          <w:rFonts w:cs="Times New Roman"/>
          <w:sz w:val="24"/>
          <w:szCs w:val="24"/>
        </w:rPr>
        <w:t xml:space="preserve"> », </w:t>
      </w:r>
      <w:r w:rsidRPr="0049195A">
        <w:rPr>
          <w:rFonts w:cs="Times New Roman"/>
          <w:i/>
          <w:sz w:val="24"/>
          <w:szCs w:val="24"/>
        </w:rPr>
        <w:t>MEFRA</w:t>
      </w:r>
      <w:r w:rsidRPr="0049195A">
        <w:rPr>
          <w:rFonts w:cs="Times New Roman"/>
          <w:sz w:val="24"/>
          <w:szCs w:val="24"/>
        </w:rPr>
        <w:t xml:space="preserve">, 101, 1989, p. 403-488. </w:t>
      </w:r>
    </w:p>
    <w:p w:rsidR="00767BA2" w:rsidRPr="0049195A" w:rsidRDefault="00767BA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D32FBB" w:rsidRPr="00933EDA" w:rsidRDefault="00D32FBB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FF0000"/>
          <w:sz w:val="24"/>
          <w:szCs w:val="24"/>
        </w:rPr>
      </w:pPr>
      <w:r w:rsidRPr="00933EDA">
        <w:rPr>
          <w:rFonts w:cs="Times New Roman"/>
          <w:color w:val="FF0000"/>
          <w:sz w:val="24"/>
          <w:szCs w:val="24"/>
        </w:rPr>
        <w:t xml:space="preserve">N. Duval, </w:t>
      </w:r>
      <w:r w:rsidR="00EA0BAD" w:rsidRPr="00933EDA">
        <w:rPr>
          <w:rFonts w:cs="Times New Roman"/>
          <w:color w:val="FF0000"/>
          <w:sz w:val="24"/>
          <w:szCs w:val="24"/>
        </w:rPr>
        <w:t>« </w:t>
      </w:r>
      <w:r w:rsidRPr="00933EDA">
        <w:rPr>
          <w:rFonts w:cs="Times New Roman"/>
          <w:color w:val="FF0000"/>
          <w:sz w:val="24"/>
          <w:szCs w:val="24"/>
        </w:rPr>
        <w:t>Sufetula, l’histoire d’une ville romaine de la Haute-Steppe</w:t>
      </w:r>
      <w:r w:rsidR="00EA0BAD" w:rsidRPr="00933EDA">
        <w:rPr>
          <w:rFonts w:cs="Times New Roman"/>
          <w:color w:val="FF0000"/>
          <w:sz w:val="24"/>
          <w:szCs w:val="24"/>
        </w:rPr>
        <w:t xml:space="preserve"> à la lumière des recherches récentes »</w:t>
      </w:r>
      <w:r w:rsidRPr="00933EDA">
        <w:rPr>
          <w:rFonts w:cs="Times New Roman"/>
          <w:color w:val="FF0000"/>
          <w:sz w:val="24"/>
          <w:szCs w:val="24"/>
        </w:rPr>
        <w:t xml:space="preserve">, </w:t>
      </w:r>
      <w:r w:rsidR="00482230" w:rsidRPr="00933EDA">
        <w:rPr>
          <w:rFonts w:cs="Times New Roman"/>
          <w:i/>
          <w:color w:val="FF0000"/>
          <w:sz w:val="24"/>
          <w:szCs w:val="24"/>
        </w:rPr>
        <w:t>L</w:t>
      </w:r>
      <w:r w:rsidRPr="00933EDA">
        <w:rPr>
          <w:rFonts w:cs="Times New Roman"/>
          <w:i/>
          <w:color w:val="FF0000"/>
          <w:sz w:val="24"/>
          <w:szCs w:val="24"/>
        </w:rPr>
        <w:t>’Afrique dans l’Occident romaine, Rome, 3-5 décembre 1987</w:t>
      </w:r>
      <w:r w:rsidRPr="00933EDA">
        <w:rPr>
          <w:rFonts w:cs="Times New Roman"/>
          <w:color w:val="FF0000"/>
          <w:sz w:val="24"/>
          <w:szCs w:val="24"/>
        </w:rPr>
        <w:t xml:space="preserve">, Paris-Rome 1990 p. </w:t>
      </w:r>
      <w:r w:rsidR="00482230" w:rsidRPr="00933EDA">
        <w:rPr>
          <w:rFonts w:cs="Times New Roman"/>
          <w:color w:val="FF0000"/>
          <w:sz w:val="24"/>
          <w:szCs w:val="24"/>
        </w:rPr>
        <w:t>495-536.</w:t>
      </w:r>
    </w:p>
    <w:p w:rsidR="0090729C" w:rsidRPr="0049195A" w:rsidRDefault="0090729C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bCs/>
          <w:color w:val="auto"/>
          <w:sz w:val="24"/>
          <w:szCs w:val="24"/>
          <w:shd w:val="clear" w:color="auto" w:fill="FFFFFF"/>
        </w:rPr>
      </w:pPr>
    </w:p>
    <w:p w:rsidR="0090729C" w:rsidRPr="0049195A" w:rsidRDefault="0090729C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bCs/>
          <w:color w:val="auto"/>
          <w:sz w:val="24"/>
          <w:szCs w:val="24"/>
          <w:shd w:val="clear" w:color="auto" w:fill="FFFFFF"/>
        </w:rPr>
      </w:pPr>
      <w:r w:rsidRPr="0049195A">
        <w:rPr>
          <w:rFonts w:cs="Times New Roman"/>
          <w:bCs/>
          <w:color w:val="auto"/>
          <w:sz w:val="24"/>
          <w:szCs w:val="24"/>
          <w:shd w:val="clear" w:color="auto" w:fill="FFFFFF"/>
        </w:rPr>
        <w:t xml:space="preserve">N. Duval, « L’église V (des Saints-Gervais-Protais-et-Tryphon) à Sbeitla (Sufetula), Tunisie. (Recherches 1954-1963) », </w:t>
      </w:r>
      <w:r w:rsidRPr="0049195A">
        <w:rPr>
          <w:rFonts w:cs="Times New Roman"/>
          <w:bCs/>
          <w:i/>
          <w:color w:val="auto"/>
          <w:sz w:val="24"/>
          <w:szCs w:val="24"/>
          <w:shd w:val="clear" w:color="auto" w:fill="FFFFFF"/>
        </w:rPr>
        <w:t>MEFRA</w:t>
      </w:r>
      <w:r w:rsidRPr="0049195A">
        <w:rPr>
          <w:rFonts w:cs="Times New Roman"/>
          <w:bCs/>
          <w:color w:val="auto"/>
          <w:sz w:val="24"/>
          <w:szCs w:val="24"/>
          <w:shd w:val="clear" w:color="auto" w:fill="FFFFFF"/>
        </w:rPr>
        <w:t>, 1999, V. 11, n° 2, p. 927-989.</w:t>
      </w:r>
    </w:p>
    <w:p w:rsidR="0090729C" w:rsidRPr="0049195A" w:rsidRDefault="0090729C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FD12FF" w:rsidRPr="0049195A" w:rsidRDefault="00FD12FF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>N. Ferchiou, L’arc de Septime Sévère à Sbeïtla, Echanges, II 1, 1980, p. 49-58.</w:t>
      </w:r>
    </w:p>
    <w:p w:rsidR="00FD12FF" w:rsidRPr="0049195A" w:rsidRDefault="00FD12FF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FD12FF" w:rsidRPr="0049195A" w:rsidRDefault="00FD12FF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M. Ferhi, « Nouvelles recherches sur l’approvisionnement en eau d’une ville romaine en Afrique Proconsulaire : le cas de Sufetula, Sbeïtla », </w:t>
      </w:r>
      <w:r w:rsidRPr="0049195A">
        <w:rPr>
          <w:rFonts w:cs="Times New Roman"/>
          <w:i/>
          <w:sz w:val="24"/>
          <w:szCs w:val="24"/>
        </w:rPr>
        <w:t>dans actes du 7</w:t>
      </w:r>
      <w:r w:rsidRPr="0049195A">
        <w:rPr>
          <w:rFonts w:cs="Times New Roman"/>
          <w:i/>
          <w:sz w:val="24"/>
          <w:szCs w:val="24"/>
          <w:vertAlign w:val="superscript"/>
        </w:rPr>
        <w:t>ème</w:t>
      </w:r>
      <w:r w:rsidRPr="0049195A">
        <w:rPr>
          <w:rFonts w:cs="Times New Roman"/>
          <w:i/>
          <w:sz w:val="24"/>
          <w:szCs w:val="24"/>
        </w:rPr>
        <w:t xml:space="preserve"> colloque international sur l’Histoire des Steppes Tunisiennes, Sbeïtla, session, 2010</w:t>
      </w:r>
      <w:r w:rsidRPr="0049195A">
        <w:rPr>
          <w:rFonts w:cs="Times New Roman"/>
          <w:sz w:val="24"/>
          <w:szCs w:val="24"/>
        </w:rPr>
        <w:t>, textes réunis par F. Bejaoui, Institut National du Patrimoine, Tunis 2014, p. 117-130.</w:t>
      </w:r>
    </w:p>
    <w:p w:rsidR="007B704E" w:rsidRPr="0049195A" w:rsidRDefault="007B704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G. L. Feuille,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Note sur une inscription chrétienne de </w:t>
      </w:r>
      <w:r w:rsidRPr="0049195A">
        <w:rPr>
          <w:rFonts w:cs="Times New Roman"/>
          <w:color w:val="auto"/>
          <w:sz w:val="24"/>
          <w:szCs w:val="24"/>
          <w:lang w:eastAsia="en-US"/>
        </w:rPr>
        <w:t>S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beitla »,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BCTH, </w:t>
      </w:r>
      <w:r w:rsidRPr="0049195A">
        <w:rPr>
          <w:rFonts w:cs="Times New Roman"/>
          <w:color w:val="auto"/>
          <w:sz w:val="24"/>
          <w:szCs w:val="24"/>
          <w:lang w:eastAsia="en-US"/>
        </w:rPr>
        <w:t>1946-1949, p. 539-544</w:t>
      </w:r>
    </w:p>
    <w:p w:rsidR="00A1117A" w:rsidRPr="0049195A" w:rsidRDefault="00A1117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7238CC" w:rsidRPr="0049195A" w:rsidRDefault="007238CC" w:rsidP="00995189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P. Gauckler,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Enquête sur les installations hydrauliques romaines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en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Tunisie, </w:t>
      </w:r>
      <w:r w:rsidRPr="0049195A">
        <w:rPr>
          <w:rFonts w:cs="Times New Roman"/>
          <w:color w:val="auto"/>
          <w:sz w:val="24"/>
          <w:szCs w:val="24"/>
          <w:lang w:eastAsia="en-US"/>
        </w:rPr>
        <w:t>I, 3, Tunis, 1899,</w:t>
      </w:r>
      <w:r w:rsidR="00995189">
        <w:rPr>
          <w:rFonts w:cs="Times New Roman"/>
          <w:color w:val="auto"/>
          <w:sz w:val="24"/>
          <w:szCs w:val="24"/>
          <w:lang w:eastAsia="en-US"/>
        </w:rPr>
        <w:t xml:space="preserve"> </w:t>
      </w:r>
      <w:r w:rsidRPr="0049195A">
        <w:rPr>
          <w:rFonts w:cs="Times New Roman"/>
          <w:color w:val="auto"/>
          <w:sz w:val="24"/>
          <w:szCs w:val="24"/>
          <w:lang w:eastAsia="en-US"/>
        </w:rPr>
        <w:t>p. 15l-152.</w:t>
      </w:r>
    </w:p>
    <w:p w:rsidR="007238CC" w:rsidRPr="0049195A" w:rsidRDefault="007238CC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A138FB" w:rsidRPr="0049195A" w:rsidRDefault="007238CC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sz w:val="24"/>
          <w:szCs w:val="24"/>
        </w:rPr>
        <w:t xml:space="preserve">P. Gauckler, « Fouilles du capitaine Montalier à </w:t>
      </w:r>
      <w:r w:rsidRPr="0049195A">
        <w:rPr>
          <w:rFonts w:cs="Times New Roman"/>
          <w:i/>
          <w:sz w:val="24"/>
          <w:szCs w:val="24"/>
        </w:rPr>
        <w:t>Sbeitla</w:t>
      </w:r>
      <w:r w:rsidRPr="0049195A">
        <w:rPr>
          <w:rFonts w:cs="Times New Roman"/>
          <w:sz w:val="24"/>
          <w:szCs w:val="24"/>
        </w:rPr>
        <w:t xml:space="preserve"> (Tunisie) », </w:t>
      </w:r>
      <w:r w:rsidRPr="0049195A">
        <w:rPr>
          <w:rFonts w:cs="Times New Roman"/>
          <w:i/>
          <w:iCs/>
          <w:sz w:val="24"/>
          <w:szCs w:val="24"/>
        </w:rPr>
        <w:t>BCTH</w:t>
      </w:r>
      <w:r w:rsidRPr="0049195A">
        <w:rPr>
          <w:rFonts w:cs="Times New Roman"/>
          <w:sz w:val="24"/>
          <w:szCs w:val="24"/>
        </w:rPr>
        <w:t>, 1904, p. CLVII-CLX.</w:t>
      </w:r>
    </w:p>
    <w:p w:rsidR="00564E82" w:rsidRDefault="00564E82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60345D" w:rsidRPr="00933EDA" w:rsidRDefault="0060345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V. Guérin </w:t>
      </w:r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 xml:space="preserve">Voyage archéologique dans la Régence de Tunis, </w:t>
      </w:r>
      <w:r w:rsidRPr="00933EDA">
        <w:rPr>
          <w:rFonts w:cs="Times New Roman"/>
          <w:color w:val="FF0000"/>
          <w:sz w:val="24"/>
          <w:szCs w:val="24"/>
          <w:lang w:eastAsia="en-US"/>
        </w:rPr>
        <w:t>Paris, 1862, I, p. 377-388.</w:t>
      </w:r>
    </w:p>
    <w:p w:rsidR="005B5BAE" w:rsidRDefault="005B5BAE" w:rsidP="005B5BAE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3A2B7E" w:rsidRPr="0049195A" w:rsidRDefault="003A2B7E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M. Khanoussi, « Neptune, Rex Pelagicus, dans le municipe de Sufetula (Sbeïtla, Tunisie) », </w:t>
      </w:r>
      <w:r w:rsidRPr="0049195A">
        <w:rPr>
          <w:rFonts w:cs="Times New Roman"/>
          <w:i/>
          <w:sz w:val="24"/>
          <w:szCs w:val="24"/>
        </w:rPr>
        <w:t>CRAI</w:t>
      </w:r>
      <w:r w:rsidRPr="0049195A">
        <w:rPr>
          <w:rFonts w:cs="Times New Roman"/>
          <w:sz w:val="24"/>
          <w:szCs w:val="24"/>
        </w:rPr>
        <w:t>, 2004, V. 148, p. 1153-1165.</w:t>
      </w:r>
    </w:p>
    <w:p w:rsidR="003A2B7E" w:rsidRPr="0049195A" w:rsidRDefault="003A2B7E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FD12FF" w:rsidRPr="0049195A" w:rsidRDefault="00FD12FF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M. Khanoussi, « Urbanisme et statut municipal en Afrique Proconsulaire : le cas de Sufetula », dans </w:t>
      </w:r>
      <w:r w:rsidRPr="0049195A">
        <w:rPr>
          <w:rFonts w:cs="Times New Roman"/>
          <w:i/>
          <w:sz w:val="24"/>
          <w:szCs w:val="24"/>
        </w:rPr>
        <w:t>actes du 5</w:t>
      </w:r>
      <w:r w:rsidRPr="0049195A">
        <w:rPr>
          <w:rFonts w:cs="Times New Roman"/>
          <w:i/>
          <w:sz w:val="24"/>
          <w:szCs w:val="24"/>
          <w:vertAlign w:val="superscript"/>
        </w:rPr>
        <w:t>ème</w:t>
      </w:r>
      <w:r w:rsidRPr="0049195A">
        <w:rPr>
          <w:rFonts w:cs="Times New Roman"/>
          <w:i/>
          <w:sz w:val="24"/>
          <w:szCs w:val="24"/>
        </w:rPr>
        <w:t xml:space="preserve"> colloque international sur l’Histoire des Steppes Tunisiennes, Sbeïtla, session, 2006</w:t>
      </w:r>
      <w:r w:rsidRPr="0049195A">
        <w:rPr>
          <w:rFonts w:cs="Times New Roman"/>
          <w:sz w:val="24"/>
          <w:szCs w:val="24"/>
        </w:rPr>
        <w:t>, textes réunis par F. Bejaoui, Institut National du Patrimoine, Tunis 2008, p. 73-84.</w:t>
      </w:r>
    </w:p>
    <w:p w:rsidR="002107F8" w:rsidRPr="0049195A" w:rsidRDefault="002107F8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6E03F4" w:rsidRPr="0049195A" w:rsidRDefault="006E03F4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Cl. Lepelley, </w:t>
      </w:r>
      <w:r w:rsidRPr="0049195A">
        <w:rPr>
          <w:rFonts w:cs="Times New Roman"/>
          <w:i/>
          <w:color w:val="auto"/>
          <w:sz w:val="24"/>
          <w:szCs w:val="24"/>
          <w:lang w:eastAsia="en-US"/>
        </w:rPr>
        <w:t>Les cités de l’Afrique romaine au Bas-Empire, II, Notices d’histoire municipale</w:t>
      </w:r>
      <w:r w:rsidRPr="0049195A">
        <w:rPr>
          <w:rFonts w:cs="Times New Roman"/>
          <w:color w:val="auto"/>
          <w:sz w:val="24"/>
          <w:szCs w:val="24"/>
          <w:lang w:eastAsia="en-US"/>
        </w:rPr>
        <w:t>, Paris, 1981, p. 308-312.</w:t>
      </w:r>
    </w:p>
    <w:p w:rsidR="00CE0024" w:rsidRPr="0049195A" w:rsidRDefault="00CE0024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6B08C4" w:rsidRPr="0049195A" w:rsidRDefault="006B08C4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564E82" w:rsidRPr="00933EDA" w:rsidRDefault="00564E82" w:rsidP="00564E82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933EDA">
        <w:rPr>
          <w:rFonts w:cs="Times New Roman"/>
          <w:color w:val="FF0000"/>
          <w:sz w:val="24"/>
          <w:szCs w:val="24"/>
          <w:lang w:eastAsia="en-US"/>
        </w:rPr>
        <w:lastRenderedPageBreak/>
        <w:t>A. Merlin, « </w:t>
      </w:r>
      <w:r w:rsidRPr="00933EDA">
        <w:rPr>
          <w:rFonts w:cs="Times New Roman"/>
          <w:iCs/>
          <w:color w:val="FF0000"/>
          <w:sz w:val="24"/>
          <w:szCs w:val="24"/>
          <w:lang w:eastAsia="en-US"/>
        </w:rPr>
        <w:t xml:space="preserve">Forum et églises de </w:t>
      </w:r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>Sufetula</w:t>
      </w:r>
      <w:r w:rsidRPr="00933EDA">
        <w:rPr>
          <w:rFonts w:cs="Times New Roman"/>
          <w:iCs/>
          <w:color w:val="FF0000"/>
          <w:sz w:val="24"/>
          <w:szCs w:val="24"/>
          <w:lang w:eastAsia="en-US"/>
        </w:rPr>
        <w:t xml:space="preserve"> », </w:t>
      </w:r>
      <w:r w:rsidRPr="00933EDA">
        <w:rPr>
          <w:rFonts w:cs="Times New Roman"/>
          <w:i/>
          <w:color w:val="FF0000"/>
          <w:sz w:val="24"/>
          <w:szCs w:val="24"/>
          <w:lang w:eastAsia="en-US"/>
        </w:rPr>
        <w:t>Notes et documents de la Direction des Antiquités et Arts de la Tunisie</w:t>
      </w: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, t. V), Paris, 1912. </w:t>
      </w:r>
    </w:p>
    <w:p w:rsidR="00564E82" w:rsidRPr="0049195A" w:rsidRDefault="00564E82" w:rsidP="00564E82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564E82" w:rsidRPr="0049195A" w:rsidRDefault="00564E82" w:rsidP="00564E82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A. Merlin,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L’église </w:t>
      </w:r>
      <w:r w:rsidRPr="0049195A">
        <w:rPr>
          <w:rFonts w:cs="Times New Roman"/>
          <w:sz w:val="24"/>
          <w:szCs w:val="24"/>
        </w:rPr>
        <w:t xml:space="preserve">du prêtre 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Vitalis à Sbeitla »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Reu. </w:t>
      </w:r>
      <w:proofErr w:type="gramStart"/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tunis.,</w:t>
      </w:r>
      <w:proofErr w:type="gramEnd"/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 1917, p. 265-285. </w:t>
      </w:r>
    </w:p>
    <w:p w:rsidR="00564E82" w:rsidRPr="0049195A" w:rsidRDefault="00564E82" w:rsidP="00564E82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6B08C4" w:rsidRPr="0049195A" w:rsidRDefault="006B08C4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  <w:r w:rsidRPr="0049195A">
        <w:rPr>
          <w:rFonts w:cs="Times New Roman"/>
          <w:iCs/>
          <w:color w:val="auto"/>
          <w:sz w:val="24"/>
          <w:szCs w:val="24"/>
          <w:lang w:val="en-US" w:eastAsia="en-US"/>
        </w:rPr>
        <w:t xml:space="preserve">J. Murray, R. L. </w:t>
      </w:r>
      <w:proofErr w:type="spellStart"/>
      <w:r w:rsidRPr="0049195A">
        <w:rPr>
          <w:rFonts w:cs="Times New Roman"/>
          <w:iCs/>
          <w:color w:val="auto"/>
          <w:sz w:val="24"/>
          <w:szCs w:val="24"/>
          <w:lang w:val="en-US" w:eastAsia="en-US"/>
        </w:rPr>
        <w:t>Playfer</w:t>
      </w:r>
      <w:proofErr w:type="spellEnd"/>
      <w:r w:rsidRPr="0049195A">
        <w:rPr>
          <w:rFonts w:cs="Times New Roman"/>
          <w:iCs/>
          <w:color w:val="auto"/>
          <w:sz w:val="24"/>
          <w:szCs w:val="24"/>
          <w:lang w:val="en-US" w:eastAsia="en-US"/>
        </w:rPr>
        <w:t xml:space="preserve">, </w:t>
      </w:r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Handbook for </w:t>
      </w:r>
      <w:proofErr w:type="spellStart"/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>Travellers</w:t>
      </w:r>
      <w:proofErr w:type="spellEnd"/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 in Algeria and Tunis, Algiers, Oran, Constantine, Carthage, Etc,</w:t>
      </w:r>
      <w:r w:rsidRPr="0049195A">
        <w:rPr>
          <w:rFonts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49195A">
        <w:rPr>
          <w:rFonts w:cs="Times New Roman"/>
          <w:bCs/>
          <w:iCs/>
          <w:color w:val="auto"/>
          <w:sz w:val="24"/>
          <w:szCs w:val="24"/>
          <w:lang w:val="en-US" w:eastAsia="en-US"/>
        </w:rPr>
        <w:t>3</w:t>
      </w:r>
      <w:r w:rsidRPr="0049195A">
        <w:rPr>
          <w:rFonts w:cs="Times New Roman"/>
          <w:bCs/>
          <w:iCs/>
          <w:color w:val="auto"/>
          <w:sz w:val="24"/>
          <w:szCs w:val="24"/>
          <w:vertAlign w:val="superscript"/>
          <w:lang w:val="en-US" w:eastAsia="en-US"/>
        </w:rPr>
        <w:t>e</w:t>
      </w:r>
      <w:r w:rsidRPr="0049195A">
        <w:rPr>
          <w:rFonts w:cs="Times New Roman"/>
          <w:bCs/>
          <w:iCs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49195A">
        <w:rPr>
          <w:rFonts w:cs="Times New Roman"/>
          <w:bCs/>
          <w:iCs/>
          <w:color w:val="auto"/>
          <w:sz w:val="24"/>
          <w:szCs w:val="24"/>
          <w:lang w:val="en-US" w:eastAsia="en-US"/>
        </w:rPr>
        <w:t>éd</w:t>
      </w:r>
      <w:proofErr w:type="spellEnd"/>
      <w:r w:rsidRPr="0049195A">
        <w:rPr>
          <w:rFonts w:cs="Times New Roman"/>
          <w:bCs/>
          <w:iCs/>
          <w:color w:val="auto"/>
          <w:sz w:val="24"/>
          <w:szCs w:val="24"/>
          <w:lang w:val="en-US" w:eastAsia="en-US"/>
        </w:rPr>
        <w:t xml:space="preserve">., London, </w:t>
      </w:r>
      <w:r w:rsidRPr="0049195A">
        <w:rPr>
          <w:rFonts w:cs="Times New Roman"/>
          <w:bCs/>
          <w:color w:val="auto"/>
          <w:sz w:val="24"/>
          <w:szCs w:val="24"/>
          <w:lang w:val="en-US" w:eastAsia="en-US"/>
        </w:rPr>
        <w:t>1887, p. 327-328</w:t>
      </w:r>
      <w:r w:rsidRPr="0049195A">
        <w:rPr>
          <w:rFonts w:cs="Times New Roman"/>
          <w:color w:val="auto"/>
          <w:sz w:val="24"/>
          <w:szCs w:val="24"/>
          <w:lang w:val="en-US" w:eastAsia="en-US"/>
        </w:rPr>
        <w:t>.</w:t>
      </w:r>
    </w:p>
    <w:p w:rsidR="008545DE" w:rsidRPr="0049195A" w:rsidRDefault="008545D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</w:p>
    <w:p w:rsidR="004D4A10" w:rsidRPr="00513E7B" w:rsidRDefault="003A2B7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sz w:val="24"/>
          <w:szCs w:val="24"/>
          <w:lang w:val="en-US"/>
        </w:rPr>
        <w:t xml:space="preserve">D. Parrish, </w:t>
      </w:r>
      <w:r w:rsidRPr="0049195A">
        <w:rPr>
          <w:rFonts w:cs="Times New Roman"/>
          <w:iCs/>
          <w:color w:val="auto"/>
          <w:sz w:val="24"/>
          <w:szCs w:val="24"/>
          <w:lang w:val="en-US" w:eastAsia="en-US"/>
        </w:rPr>
        <w:t>« </w:t>
      </w:r>
      <w:r w:rsidRPr="0049195A">
        <w:rPr>
          <w:rFonts w:cs="Times New Roman"/>
          <w:sz w:val="24"/>
          <w:szCs w:val="24"/>
          <w:lang w:val="en-US"/>
        </w:rPr>
        <w:t xml:space="preserve">The mosaic of </w:t>
      </w:r>
      <w:proofErr w:type="spellStart"/>
      <w:r w:rsidRPr="0049195A">
        <w:rPr>
          <w:rFonts w:cs="Times New Roman"/>
          <w:sz w:val="24"/>
          <w:szCs w:val="24"/>
          <w:lang w:val="en-US"/>
        </w:rPr>
        <w:t>Xénophon</w:t>
      </w:r>
      <w:proofErr w:type="spellEnd"/>
      <w:r w:rsidRPr="0049195A">
        <w:rPr>
          <w:rFonts w:cs="Times New Roman"/>
          <w:sz w:val="24"/>
          <w:szCs w:val="24"/>
          <w:lang w:val="en-US"/>
        </w:rPr>
        <w:t xml:space="preserve"> and the Seasons from </w:t>
      </w:r>
      <w:proofErr w:type="spellStart"/>
      <w:r w:rsidRPr="0049195A">
        <w:rPr>
          <w:rFonts w:cs="Times New Roman"/>
          <w:sz w:val="24"/>
          <w:szCs w:val="24"/>
          <w:lang w:val="en-US"/>
        </w:rPr>
        <w:t>Sbeitla</w:t>
      </w:r>
      <w:proofErr w:type="spellEnd"/>
      <w:r w:rsidRPr="0049195A">
        <w:rPr>
          <w:rFonts w:cs="Times New Roman"/>
          <w:sz w:val="24"/>
          <w:szCs w:val="24"/>
          <w:lang w:val="en-US"/>
        </w:rPr>
        <w:t xml:space="preserve"> (Tunisia)</w:t>
      </w:r>
      <w:r w:rsidRPr="0049195A">
        <w:rPr>
          <w:rFonts w:cs="Times New Roman"/>
          <w:iCs/>
          <w:color w:val="auto"/>
          <w:sz w:val="24"/>
          <w:szCs w:val="24"/>
          <w:lang w:val="en-US" w:eastAsia="en-US"/>
        </w:rPr>
        <w:t xml:space="preserve"> »</w:t>
      </w:r>
      <w:r w:rsidRPr="0049195A">
        <w:rPr>
          <w:rFonts w:cs="Times New Roman"/>
          <w:sz w:val="24"/>
          <w:szCs w:val="24"/>
          <w:lang w:val="en-US"/>
        </w:rPr>
        <w:t xml:space="preserve">, </w:t>
      </w:r>
      <w:proofErr w:type="spellStart"/>
      <w:r w:rsidRPr="0049195A">
        <w:rPr>
          <w:rFonts w:cs="Times New Roman"/>
          <w:i/>
          <w:sz w:val="24"/>
          <w:szCs w:val="24"/>
          <w:lang w:val="en-US"/>
        </w:rPr>
        <w:t>Recueil</w:t>
      </w:r>
      <w:proofErr w:type="spellEnd"/>
      <w:r w:rsidRPr="0049195A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49195A">
        <w:rPr>
          <w:rFonts w:cs="Times New Roman"/>
          <w:i/>
          <w:sz w:val="24"/>
          <w:szCs w:val="24"/>
          <w:lang w:val="en-US"/>
        </w:rPr>
        <w:t>d’hommages</w:t>
      </w:r>
      <w:proofErr w:type="spellEnd"/>
      <w:r w:rsidRPr="0049195A">
        <w:rPr>
          <w:rFonts w:cs="Times New Roman"/>
          <w:sz w:val="24"/>
          <w:szCs w:val="24"/>
          <w:lang w:val="en-US"/>
        </w:rPr>
        <w:t xml:space="preserve"> </w:t>
      </w:r>
      <w:r w:rsidRPr="0049195A">
        <w:rPr>
          <w:rFonts w:cs="Times New Roman"/>
          <w:i/>
          <w:sz w:val="24"/>
          <w:szCs w:val="24"/>
          <w:lang w:val="en-US"/>
        </w:rPr>
        <w:t>à Henri Stern</w:t>
      </w:r>
      <w:r w:rsidRPr="0049195A">
        <w:rPr>
          <w:rFonts w:cs="Times New Roman"/>
          <w:sz w:val="24"/>
          <w:szCs w:val="24"/>
          <w:lang w:val="en-US"/>
        </w:rPr>
        <w:t xml:space="preserve">, Paris, 1982, (1983), p. 297-306, pl. </w:t>
      </w:r>
      <w:r w:rsidRPr="00513E7B">
        <w:rPr>
          <w:rFonts w:cs="Times New Roman"/>
          <w:sz w:val="24"/>
          <w:szCs w:val="24"/>
        </w:rPr>
        <w:t>CXCIV-CXCVIII</w:t>
      </w:r>
    </w:p>
    <w:p w:rsidR="003A2B7E" w:rsidRPr="0049195A" w:rsidRDefault="003A2B7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EA663A" w:rsidRPr="0049195A" w:rsidRDefault="00EA663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  <w:r w:rsidRPr="0049195A">
        <w:rPr>
          <w:rFonts w:cs="Times New Roman"/>
          <w:color w:val="auto"/>
          <w:sz w:val="24"/>
          <w:szCs w:val="24"/>
          <w:lang w:val="en-US" w:eastAsia="en-US"/>
        </w:rPr>
        <w:t xml:space="preserve">R. L. </w:t>
      </w:r>
      <w:proofErr w:type="spellStart"/>
      <w:proofErr w:type="gramStart"/>
      <w:r w:rsidRPr="0049195A">
        <w:rPr>
          <w:rFonts w:cs="Times New Roman"/>
          <w:color w:val="auto"/>
          <w:sz w:val="24"/>
          <w:szCs w:val="24"/>
          <w:lang w:val="en-US" w:eastAsia="en-US"/>
        </w:rPr>
        <w:t>Playfair</w:t>
      </w:r>
      <w:proofErr w:type="spellEnd"/>
      <w:r w:rsidRPr="0049195A">
        <w:rPr>
          <w:rFonts w:cs="Times New Roman"/>
          <w:color w:val="auto"/>
          <w:sz w:val="24"/>
          <w:szCs w:val="24"/>
          <w:lang w:val="en-US" w:eastAsia="en-US"/>
        </w:rPr>
        <w:t>,</w:t>
      </w:r>
      <w:proofErr w:type="gramEnd"/>
      <w:r w:rsidRPr="0049195A">
        <w:rPr>
          <w:rFonts w:cs="Times New Roman"/>
          <w:color w:val="auto"/>
          <w:sz w:val="24"/>
          <w:szCs w:val="24"/>
          <w:lang w:val="en-US" w:eastAsia="en-US"/>
        </w:rPr>
        <w:t xml:space="preserve"> </w:t>
      </w:r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Travels in the Footsteps of Bruce in Algeria and Tunis, </w:t>
      </w:r>
      <w:proofErr w:type="spellStart"/>
      <w:r w:rsidRPr="0049195A">
        <w:rPr>
          <w:rFonts w:cs="Times New Roman"/>
          <w:color w:val="auto"/>
          <w:sz w:val="24"/>
          <w:szCs w:val="24"/>
          <w:lang w:val="en-US" w:eastAsia="en-US"/>
        </w:rPr>
        <w:t>Londres</w:t>
      </w:r>
      <w:proofErr w:type="spellEnd"/>
      <w:r w:rsidRPr="0049195A">
        <w:rPr>
          <w:rFonts w:cs="Times New Roman"/>
          <w:color w:val="auto"/>
          <w:sz w:val="24"/>
          <w:szCs w:val="24"/>
          <w:lang w:val="en-US" w:eastAsia="en-US"/>
        </w:rPr>
        <w:t>, 1877, p. 17</w:t>
      </w:r>
      <w:r w:rsidR="0060345D" w:rsidRPr="0049195A">
        <w:rPr>
          <w:rFonts w:cs="Times New Roman"/>
          <w:color w:val="auto"/>
          <w:sz w:val="24"/>
          <w:szCs w:val="24"/>
          <w:lang w:val="en-US" w:eastAsia="en-US"/>
        </w:rPr>
        <w:t>5</w:t>
      </w:r>
      <w:r w:rsidRPr="0049195A">
        <w:rPr>
          <w:rFonts w:cs="Times New Roman"/>
          <w:color w:val="auto"/>
          <w:sz w:val="24"/>
          <w:szCs w:val="24"/>
          <w:lang w:val="en-US" w:eastAsia="en-US"/>
        </w:rPr>
        <w:t>-187.</w:t>
      </w:r>
    </w:p>
    <w:p w:rsidR="002867B8" w:rsidRPr="0049195A" w:rsidRDefault="002867B8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</w:p>
    <w:p w:rsidR="00FA0356" w:rsidRPr="0049195A" w:rsidRDefault="00891392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pacing w:val="2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L. Poinssot, </w:t>
      </w:r>
      <w:r w:rsidR="00FC73E9" w:rsidRPr="0049195A">
        <w:rPr>
          <w:rFonts w:cs="Times New Roman"/>
          <w:sz w:val="24"/>
          <w:szCs w:val="24"/>
        </w:rPr>
        <w:t>« </w:t>
      </w:r>
      <w:r w:rsidR="00FA0356" w:rsidRPr="0049195A">
        <w:rPr>
          <w:rFonts w:cs="Times New Roman"/>
          <w:spacing w:val="2"/>
          <w:sz w:val="24"/>
          <w:szCs w:val="24"/>
        </w:rPr>
        <w:t xml:space="preserve">Fouilles à </w:t>
      </w:r>
      <w:r w:rsidR="00FA0356" w:rsidRPr="0049195A">
        <w:rPr>
          <w:rFonts w:cs="Times New Roman"/>
          <w:i/>
          <w:iCs/>
          <w:spacing w:val="8"/>
          <w:sz w:val="24"/>
          <w:szCs w:val="24"/>
        </w:rPr>
        <w:t xml:space="preserve">Sufetula </w:t>
      </w:r>
      <w:r w:rsidR="00FA0356" w:rsidRPr="0049195A">
        <w:rPr>
          <w:rFonts w:cs="Times New Roman"/>
          <w:spacing w:val="2"/>
          <w:sz w:val="24"/>
          <w:szCs w:val="24"/>
        </w:rPr>
        <w:t xml:space="preserve">(Sbeïtla) », </w:t>
      </w:r>
      <w:r w:rsidR="00FA0356" w:rsidRPr="0049195A">
        <w:rPr>
          <w:rFonts w:cs="Times New Roman"/>
          <w:i/>
          <w:iCs/>
          <w:spacing w:val="2"/>
          <w:sz w:val="24"/>
          <w:szCs w:val="24"/>
        </w:rPr>
        <w:t>BCTH</w:t>
      </w:r>
      <w:r w:rsidR="00FA0356" w:rsidRPr="0049195A">
        <w:rPr>
          <w:rFonts w:cs="Times New Roman"/>
          <w:spacing w:val="2"/>
          <w:sz w:val="24"/>
          <w:szCs w:val="24"/>
        </w:rPr>
        <w:t>, 1921, p. LV-LXI.</w:t>
      </w:r>
    </w:p>
    <w:p w:rsidR="00FA0356" w:rsidRPr="0049195A" w:rsidRDefault="00FA0356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</w:p>
    <w:p w:rsidR="00FA0356" w:rsidRPr="0049195A" w:rsidRDefault="00FA0356" w:rsidP="0049195A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pacing w:val="2"/>
          <w:sz w:val="24"/>
          <w:szCs w:val="24"/>
        </w:rPr>
      </w:pPr>
      <w:r w:rsidRPr="0049195A">
        <w:rPr>
          <w:rFonts w:cs="Times New Roman"/>
          <w:sz w:val="24"/>
          <w:szCs w:val="24"/>
        </w:rPr>
        <w:t>L. Poinssot</w:t>
      </w:r>
      <w:r w:rsidRPr="0049195A">
        <w:rPr>
          <w:rFonts w:cs="Times New Roman"/>
          <w:spacing w:val="8"/>
          <w:sz w:val="24"/>
          <w:szCs w:val="24"/>
        </w:rPr>
        <w:t xml:space="preserve"> </w:t>
      </w:r>
      <w:r w:rsidRPr="0049195A">
        <w:rPr>
          <w:rFonts w:cs="Times New Roman"/>
          <w:spacing w:val="2"/>
          <w:sz w:val="24"/>
          <w:szCs w:val="24"/>
        </w:rPr>
        <w:t xml:space="preserve">et R. Lantier,  « Fouilles exécutées à Sbeitla », </w:t>
      </w:r>
      <w:r w:rsidRPr="0049195A">
        <w:rPr>
          <w:rFonts w:cs="Times New Roman"/>
          <w:i/>
          <w:iCs/>
          <w:spacing w:val="2"/>
          <w:sz w:val="24"/>
          <w:szCs w:val="24"/>
        </w:rPr>
        <w:t>BCTH</w:t>
      </w:r>
      <w:r w:rsidRPr="0049195A">
        <w:rPr>
          <w:rFonts w:cs="Times New Roman"/>
          <w:spacing w:val="2"/>
          <w:sz w:val="24"/>
          <w:szCs w:val="24"/>
        </w:rPr>
        <w:t>, 1923, p. CXLVIII-CLVII.</w:t>
      </w:r>
    </w:p>
    <w:p w:rsidR="003F6FDD" w:rsidRPr="0049195A" w:rsidRDefault="003F6FD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3F6FDD" w:rsidRPr="0049195A" w:rsidRDefault="003F6FD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J. Poinssot, 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>Inscriptions inédites découvertes à Sbeitla et dans les environs »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,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Bulletin des Antiquités africaines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II, 1884 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p. 358-361. </w:t>
      </w:r>
    </w:p>
    <w:p w:rsidR="0076207D" w:rsidRDefault="0076207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0A3ADB" w:rsidRPr="0049195A" w:rsidRDefault="000A3ADB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L. Poinssot « </w:t>
      </w:r>
      <w:r w:rsidRPr="0049195A">
        <w:rPr>
          <w:rFonts w:cs="Times New Roman"/>
          <w:iCs/>
          <w:color w:val="auto"/>
          <w:sz w:val="24"/>
          <w:szCs w:val="24"/>
          <w:lang w:eastAsia="en-US"/>
        </w:rPr>
        <w:t xml:space="preserve"> La chapelle de l'évêque Honorius à Sbeitla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> »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i/>
          <w:color w:val="auto"/>
          <w:sz w:val="24"/>
          <w:szCs w:val="24"/>
          <w:lang w:eastAsia="en-US"/>
        </w:rPr>
        <w:t>BCTH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,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1932-1933, p. 782-800, cf. p. 248, 283-285 </w:t>
      </w:r>
    </w:p>
    <w:p w:rsidR="003F6FDD" w:rsidRPr="0049195A" w:rsidRDefault="003F6FDD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DA0D2A" w:rsidRPr="00933EDA" w:rsidRDefault="00DA0D2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933EDA">
        <w:rPr>
          <w:rFonts w:cs="Times New Roman"/>
          <w:color w:val="FF0000"/>
          <w:sz w:val="24"/>
          <w:szCs w:val="24"/>
          <w:lang w:eastAsia="en-US"/>
        </w:rPr>
        <w:t>H. Saladin, « </w:t>
      </w:r>
      <w:r w:rsidRPr="00933EDA">
        <w:rPr>
          <w:rFonts w:cs="Times New Roman"/>
          <w:iCs/>
          <w:color w:val="FF0000"/>
          <w:sz w:val="24"/>
          <w:szCs w:val="24"/>
          <w:lang w:eastAsia="en-US"/>
        </w:rPr>
        <w:t>Rapport sur la mission faite en 1882-1883 »</w:t>
      </w:r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 xml:space="preserve">, Archives Missions, </w:t>
      </w: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XIII, 1886, p. 64-95, fig. 121-160, </w:t>
      </w:r>
    </w:p>
    <w:p w:rsidR="00DA0D2A" w:rsidRPr="00933EDA" w:rsidRDefault="00DA0D2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</w:p>
    <w:p w:rsidR="00DA0D2A" w:rsidRPr="00E24256" w:rsidRDefault="00DA0D2A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E24256">
        <w:rPr>
          <w:rFonts w:cs="Times New Roman"/>
          <w:color w:val="auto"/>
          <w:sz w:val="24"/>
          <w:szCs w:val="24"/>
          <w:lang w:eastAsia="en-US"/>
        </w:rPr>
        <w:t>H. Saladin, « </w:t>
      </w:r>
      <w:r w:rsidRPr="00E24256">
        <w:rPr>
          <w:rFonts w:cs="Times New Roman"/>
          <w:iCs/>
          <w:color w:val="auto"/>
          <w:sz w:val="24"/>
          <w:szCs w:val="24"/>
          <w:lang w:eastAsia="en-US"/>
        </w:rPr>
        <w:t xml:space="preserve">Étude sur les monuments antiques de la Régence de Tunis (mission de </w:t>
      </w:r>
      <w:r w:rsidRPr="00E24256">
        <w:rPr>
          <w:rFonts w:cs="Times New Roman"/>
          <w:color w:val="auto"/>
          <w:sz w:val="24"/>
          <w:szCs w:val="24"/>
          <w:lang w:eastAsia="en-US"/>
        </w:rPr>
        <w:t xml:space="preserve">1882-1883) », </w:t>
      </w:r>
      <w:r w:rsidRPr="00E24256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Bulletin de la Société centrale des architectes, </w:t>
      </w:r>
      <w:r w:rsidRPr="00E24256">
        <w:rPr>
          <w:rFonts w:cs="Times New Roman"/>
          <w:color w:val="auto"/>
          <w:sz w:val="24"/>
          <w:szCs w:val="24"/>
          <w:lang w:eastAsia="en-US"/>
        </w:rPr>
        <w:t xml:space="preserve">1886-1887, p. 13-20 </w:t>
      </w:r>
    </w:p>
    <w:p w:rsidR="00BB1312" w:rsidRPr="00E24256" w:rsidRDefault="00BB1312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E24256">
        <w:rPr>
          <w:rFonts w:cs="Times New Roman"/>
          <w:color w:val="auto"/>
          <w:sz w:val="24"/>
          <w:szCs w:val="24"/>
          <w:lang w:eastAsia="en-US"/>
        </w:rPr>
        <w:t xml:space="preserve">P. Salama, </w:t>
      </w:r>
      <w:r w:rsidRPr="00E24256">
        <w:rPr>
          <w:rFonts w:cs="Times New Roman"/>
          <w:iCs/>
          <w:color w:val="auto"/>
          <w:sz w:val="24"/>
          <w:szCs w:val="24"/>
          <w:lang w:eastAsia="en-US"/>
        </w:rPr>
        <w:t xml:space="preserve">Les voies romaines de l’Afrique du Nord, </w:t>
      </w:r>
      <w:r w:rsidRPr="00E24256">
        <w:rPr>
          <w:rFonts w:cs="Times New Roman"/>
          <w:color w:val="auto"/>
          <w:sz w:val="24"/>
          <w:szCs w:val="24"/>
          <w:lang w:eastAsia="en-US"/>
        </w:rPr>
        <w:t xml:space="preserve">Alger, 1951. </w:t>
      </w:r>
    </w:p>
    <w:p w:rsidR="002107F8" w:rsidRPr="00933EDA" w:rsidRDefault="002107F8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</w:p>
    <w:p w:rsidR="004B67BE" w:rsidRPr="0049195A" w:rsidRDefault="004B67B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  <w:r w:rsidRPr="0049195A">
        <w:rPr>
          <w:rFonts w:cs="Times New Roman"/>
          <w:color w:val="auto"/>
          <w:sz w:val="24"/>
          <w:szCs w:val="24"/>
          <w:lang w:val="en-US" w:eastAsia="en-US"/>
        </w:rPr>
        <w:t xml:space="preserve">T. Shaw, </w:t>
      </w:r>
      <w:r w:rsidRPr="0049195A">
        <w:rPr>
          <w:rFonts w:cs="Times New Roman"/>
          <w:i/>
          <w:iCs/>
          <w:color w:val="auto"/>
          <w:sz w:val="24"/>
          <w:szCs w:val="24"/>
          <w:lang w:val="en-US" w:eastAsia="en-US"/>
        </w:rPr>
        <w:t xml:space="preserve">Travels or Observations relating to several parts of Barbary and the Levant, </w:t>
      </w:r>
      <w:r w:rsidRPr="0049195A">
        <w:rPr>
          <w:rFonts w:cs="Times New Roman"/>
          <w:color w:val="auto"/>
          <w:sz w:val="24"/>
          <w:szCs w:val="24"/>
          <w:lang w:val="en-US" w:eastAsia="en-US"/>
        </w:rPr>
        <w:t>Oxford, 1738, p. 201-202,</w:t>
      </w:r>
    </w:p>
    <w:p w:rsidR="004B67BE" w:rsidRPr="0049195A" w:rsidRDefault="004B67BE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val="en-US" w:eastAsia="en-US"/>
        </w:rPr>
      </w:pPr>
    </w:p>
    <w:p w:rsidR="004B67BE" w:rsidRPr="0049195A" w:rsidRDefault="00F66900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  <w:r w:rsidRPr="0049195A">
        <w:rPr>
          <w:rFonts w:cs="Times New Roman"/>
          <w:color w:val="auto"/>
          <w:sz w:val="24"/>
          <w:szCs w:val="24"/>
          <w:lang w:eastAsia="en-US"/>
        </w:rPr>
        <w:t>T. Shaw,</w:t>
      </w:r>
      <w:r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 </w:t>
      </w:r>
      <w:r w:rsidR="004B67BE" w:rsidRPr="0049195A">
        <w:rPr>
          <w:rFonts w:cs="Times New Roman"/>
          <w:i/>
          <w:iCs/>
          <w:color w:val="auto"/>
          <w:sz w:val="24"/>
          <w:szCs w:val="24"/>
          <w:lang w:eastAsia="en-US"/>
        </w:rPr>
        <w:t xml:space="preserve">Voyages de Mons. Shaw dans plusieurs provinces de la Barbarie et du Levant, </w:t>
      </w:r>
      <w:r w:rsidR="004B67BE" w:rsidRPr="0049195A">
        <w:rPr>
          <w:rFonts w:cs="Times New Roman"/>
          <w:color w:val="auto"/>
          <w:sz w:val="24"/>
          <w:szCs w:val="24"/>
          <w:lang w:eastAsia="en-US"/>
        </w:rPr>
        <w:t xml:space="preserve">La Haye, </w:t>
      </w:r>
      <w:r w:rsidRPr="0049195A">
        <w:rPr>
          <w:rFonts w:cs="Times New Roman"/>
          <w:color w:val="auto"/>
          <w:sz w:val="24"/>
          <w:szCs w:val="24"/>
          <w:lang w:eastAsia="en-US"/>
        </w:rPr>
        <w:t xml:space="preserve">jean Neaulme, </w:t>
      </w:r>
      <w:r w:rsidR="004B67BE" w:rsidRPr="0049195A">
        <w:rPr>
          <w:rFonts w:cs="Times New Roman"/>
          <w:color w:val="auto"/>
          <w:sz w:val="24"/>
          <w:szCs w:val="24"/>
          <w:lang w:eastAsia="en-US"/>
        </w:rPr>
        <w:t xml:space="preserve">1743, p. 259-260 et pl. I. </w:t>
      </w:r>
    </w:p>
    <w:p w:rsidR="006172D7" w:rsidRPr="00513E7B" w:rsidRDefault="006172D7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6172D7" w:rsidRPr="00933EDA" w:rsidRDefault="006172D7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Sir Grenville Temple, </w:t>
      </w:r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>Excursions in the Mediterranean, Alqiers and Tunis</w:t>
      </w:r>
      <w:proofErr w:type="gramStart"/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>,</w:t>
      </w:r>
      <w:r w:rsidRPr="00933EDA">
        <w:rPr>
          <w:rFonts w:cs="Times New Roman"/>
          <w:color w:val="FF0000"/>
          <w:sz w:val="24"/>
          <w:szCs w:val="24"/>
          <w:lang w:eastAsia="en-US"/>
        </w:rPr>
        <w:t>Londres</w:t>
      </w:r>
      <w:proofErr w:type="gramEnd"/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, 1835, t. II, p. 234-246, cf. appendice épigraphique, n°115-122, p. 339-340). </w:t>
      </w:r>
    </w:p>
    <w:p w:rsidR="00FA0356" w:rsidRPr="00933EDA" w:rsidRDefault="00FA0356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</w:p>
    <w:p w:rsidR="00CE0024" w:rsidRPr="00933EDA" w:rsidRDefault="00CE0024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FF0000"/>
          <w:sz w:val="24"/>
          <w:szCs w:val="24"/>
          <w:lang w:eastAsia="en-US"/>
        </w:rPr>
      </w:pP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Ch. Tissot, </w:t>
      </w:r>
      <w:r w:rsidRPr="00933EDA">
        <w:rPr>
          <w:rFonts w:cs="Times New Roman"/>
          <w:i/>
          <w:color w:val="FF0000"/>
          <w:sz w:val="24"/>
          <w:szCs w:val="24"/>
          <w:lang w:eastAsia="en-US"/>
        </w:rPr>
        <w:t>G</w:t>
      </w:r>
      <w:r w:rsidRPr="00933EDA">
        <w:rPr>
          <w:rFonts w:cs="Times New Roman"/>
          <w:i/>
          <w:iCs/>
          <w:color w:val="FF0000"/>
          <w:sz w:val="24"/>
          <w:szCs w:val="24"/>
          <w:lang w:eastAsia="en-US"/>
        </w:rPr>
        <w:t>éographie comparée de la province romaine d’Afrique</w:t>
      </w:r>
      <w:r w:rsidRPr="00933EDA">
        <w:rPr>
          <w:rFonts w:cs="Times New Roman"/>
          <w:iCs/>
          <w:color w:val="FF0000"/>
          <w:sz w:val="24"/>
          <w:szCs w:val="24"/>
          <w:lang w:eastAsia="en-US"/>
        </w:rPr>
        <w:t xml:space="preserve">, </w:t>
      </w:r>
      <w:r w:rsidRPr="00933EDA">
        <w:rPr>
          <w:rFonts w:cs="Times New Roman"/>
          <w:color w:val="FF0000"/>
          <w:sz w:val="24"/>
          <w:szCs w:val="24"/>
          <w:lang w:eastAsia="en-US"/>
        </w:rPr>
        <w:t xml:space="preserve">II, Paris, 1888, p. 612-613, 617, 630, 635-636, 643, 645; </w:t>
      </w:r>
    </w:p>
    <w:p w:rsidR="00CE0024" w:rsidRPr="0049195A" w:rsidRDefault="00CE0024" w:rsidP="0049195A">
      <w:pPr>
        <w:shd w:val="clear" w:color="auto" w:fill="auto"/>
        <w:tabs>
          <w:tab w:val="clear" w:pos="0"/>
          <w:tab w:val="left" w:pos="284"/>
        </w:tabs>
        <w:autoSpaceDE w:val="0"/>
        <w:autoSpaceDN w:val="0"/>
        <w:adjustRightInd w:val="0"/>
        <w:spacing w:line="240" w:lineRule="auto"/>
        <w:ind w:left="284" w:right="141"/>
        <w:rPr>
          <w:rFonts w:cs="Times New Roman"/>
          <w:color w:val="auto"/>
          <w:sz w:val="24"/>
          <w:szCs w:val="24"/>
          <w:lang w:eastAsia="en-US"/>
        </w:rPr>
      </w:pPr>
    </w:p>
    <w:p w:rsidR="003A2B7E" w:rsidRPr="0049195A" w:rsidRDefault="003A2B7E" w:rsidP="0076207D">
      <w:pPr>
        <w:tabs>
          <w:tab w:val="clear" w:pos="0"/>
          <w:tab w:val="left" w:pos="284"/>
        </w:tabs>
        <w:spacing w:line="240" w:lineRule="auto"/>
        <w:ind w:left="284" w:right="141"/>
        <w:rPr>
          <w:rFonts w:cs="Times New Roman"/>
          <w:sz w:val="24"/>
          <w:szCs w:val="24"/>
        </w:rPr>
      </w:pPr>
      <w:r w:rsidRPr="0049195A">
        <w:rPr>
          <w:rFonts w:cs="Times New Roman"/>
          <w:sz w:val="24"/>
          <w:szCs w:val="24"/>
        </w:rPr>
        <w:t xml:space="preserve">J. Verite, «La restitution d’un monument romain. L’arc de Septime Sévère à Sbeïtla en Tunisie », </w:t>
      </w:r>
      <w:r w:rsidRPr="0049195A">
        <w:rPr>
          <w:rFonts w:cs="Times New Roman"/>
          <w:i/>
          <w:sz w:val="24"/>
          <w:szCs w:val="24"/>
        </w:rPr>
        <w:t>Historia</w:t>
      </w:r>
      <w:r w:rsidRPr="0049195A">
        <w:rPr>
          <w:rFonts w:cs="Times New Roman"/>
          <w:sz w:val="24"/>
          <w:szCs w:val="24"/>
        </w:rPr>
        <w:t>, 13, 1982.</w:t>
      </w:r>
    </w:p>
    <w:sectPr w:rsidR="003A2B7E" w:rsidRPr="0049195A" w:rsidSect="00DC2C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7597D"/>
    <w:multiLevelType w:val="hybridMultilevel"/>
    <w:tmpl w:val="A5AC2E9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87EF0"/>
    <w:multiLevelType w:val="hybridMultilevel"/>
    <w:tmpl w:val="C89A4E62"/>
    <w:lvl w:ilvl="0" w:tplc="040C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471BE"/>
    <w:rsid w:val="00002495"/>
    <w:rsid w:val="0002779D"/>
    <w:rsid w:val="00027FAB"/>
    <w:rsid w:val="000374FE"/>
    <w:rsid w:val="000471BE"/>
    <w:rsid w:val="00094DEE"/>
    <w:rsid w:val="000A3ADB"/>
    <w:rsid w:val="000A55B4"/>
    <w:rsid w:val="000B1CC5"/>
    <w:rsid w:val="000B5BD0"/>
    <w:rsid w:val="000C6796"/>
    <w:rsid w:val="000C7857"/>
    <w:rsid w:val="000D499B"/>
    <w:rsid w:val="000E4658"/>
    <w:rsid w:val="000F3CAF"/>
    <w:rsid w:val="00104885"/>
    <w:rsid w:val="00105F22"/>
    <w:rsid w:val="001100D0"/>
    <w:rsid w:val="0014207D"/>
    <w:rsid w:val="00143FA6"/>
    <w:rsid w:val="001637B6"/>
    <w:rsid w:val="00166005"/>
    <w:rsid w:val="00172640"/>
    <w:rsid w:val="00176693"/>
    <w:rsid w:val="001850C7"/>
    <w:rsid w:val="001B7484"/>
    <w:rsid w:val="001C2891"/>
    <w:rsid w:val="001C4FD3"/>
    <w:rsid w:val="001D3B7B"/>
    <w:rsid w:val="001E3992"/>
    <w:rsid w:val="00205FBF"/>
    <w:rsid w:val="002107F8"/>
    <w:rsid w:val="00212703"/>
    <w:rsid w:val="00225952"/>
    <w:rsid w:val="00254D40"/>
    <w:rsid w:val="00255BF8"/>
    <w:rsid w:val="0027726A"/>
    <w:rsid w:val="002867B8"/>
    <w:rsid w:val="00290AE6"/>
    <w:rsid w:val="002939E6"/>
    <w:rsid w:val="002E35E1"/>
    <w:rsid w:val="002F610C"/>
    <w:rsid w:val="002F792A"/>
    <w:rsid w:val="00304CFA"/>
    <w:rsid w:val="00315D64"/>
    <w:rsid w:val="0033236A"/>
    <w:rsid w:val="0036554E"/>
    <w:rsid w:val="00381F11"/>
    <w:rsid w:val="003A2B7E"/>
    <w:rsid w:val="003D4628"/>
    <w:rsid w:val="003D6933"/>
    <w:rsid w:val="003E46A7"/>
    <w:rsid w:val="003F6FDD"/>
    <w:rsid w:val="00460F0E"/>
    <w:rsid w:val="004630F0"/>
    <w:rsid w:val="0047331C"/>
    <w:rsid w:val="00475FA7"/>
    <w:rsid w:val="00482230"/>
    <w:rsid w:val="00490A39"/>
    <w:rsid w:val="0049195A"/>
    <w:rsid w:val="004B2DC7"/>
    <w:rsid w:val="004B67BE"/>
    <w:rsid w:val="004B6EB6"/>
    <w:rsid w:val="004D4A10"/>
    <w:rsid w:val="004F7464"/>
    <w:rsid w:val="00513E7B"/>
    <w:rsid w:val="00515FBC"/>
    <w:rsid w:val="00525685"/>
    <w:rsid w:val="00542674"/>
    <w:rsid w:val="005509CC"/>
    <w:rsid w:val="00552ED7"/>
    <w:rsid w:val="0055366B"/>
    <w:rsid w:val="00564E82"/>
    <w:rsid w:val="00596888"/>
    <w:rsid w:val="005A66EA"/>
    <w:rsid w:val="005B5104"/>
    <w:rsid w:val="005B5BAE"/>
    <w:rsid w:val="005C102D"/>
    <w:rsid w:val="005D3822"/>
    <w:rsid w:val="005D550D"/>
    <w:rsid w:val="005E6220"/>
    <w:rsid w:val="0060345D"/>
    <w:rsid w:val="006172D7"/>
    <w:rsid w:val="00637834"/>
    <w:rsid w:val="00640084"/>
    <w:rsid w:val="00650960"/>
    <w:rsid w:val="0069618D"/>
    <w:rsid w:val="006B08C4"/>
    <w:rsid w:val="006B1AE1"/>
    <w:rsid w:val="006D02B8"/>
    <w:rsid w:val="006D0CEA"/>
    <w:rsid w:val="006E03F4"/>
    <w:rsid w:val="006F3AE0"/>
    <w:rsid w:val="006F7452"/>
    <w:rsid w:val="00702455"/>
    <w:rsid w:val="007238CC"/>
    <w:rsid w:val="0076207D"/>
    <w:rsid w:val="00763E43"/>
    <w:rsid w:val="00767BA2"/>
    <w:rsid w:val="00780E20"/>
    <w:rsid w:val="007816F3"/>
    <w:rsid w:val="00786D74"/>
    <w:rsid w:val="007B374E"/>
    <w:rsid w:val="007B3C02"/>
    <w:rsid w:val="007B704E"/>
    <w:rsid w:val="007D0560"/>
    <w:rsid w:val="007E2313"/>
    <w:rsid w:val="00806204"/>
    <w:rsid w:val="00824CEC"/>
    <w:rsid w:val="00826812"/>
    <w:rsid w:val="00833AB5"/>
    <w:rsid w:val="008402E2"/>
    <w:rsid w:val="008545DE"/>
    <w:rsid w:val="00855A5F"/>
    <w:rsid w:val="00891392"/>
    <w:rsid w:val="008B3A7A"/>
    <w:rsid w:val="008E199B"/>
    <w:rsid w:val="008E2772"/>
    <w:rsid w:val="008F7428"/>
    <w:rsid w:val="00901D0C"/>
    <w:rsid w:val="0090729C"/>
    <w:rsid w:val="0091363F"/>
    <w:rsid w:val="00914F17"/>
    <w:rsid w:val="0091568D"/>
    <w:rsid w:val="00922C53"/>
    <w:rsid w:val="00926FB8"/>
    <w:rsid w:val="00933EDA"/>
    <w:rsid w:val="00940919"/>
    <w:rsid w:val="00986524"/>
    <w:rsid w:val="00995189"/>
    <w:rsid w:val="00A070B2"/>
    <w:rsid w:val="00A1117A"/>
    <w:rsid w:val="00A138FB"/>
    <w:rsid w:val="00A1437E"/>
    <w:rsid w:val="00A14F35"/>
    <w:rsid w:val="00A24007"/>
    <w:rsid w:val="00A6604D"/>
    <w:rsid w:val="00A854B6"/>
    <w:rsid w:val="00A87CD9"/>
    <w:rsid w:val="00A97157"/>
    <w:rsid w:val="00AA7DE4"/>
    <w:rsid w:val="00AC7885"/>
    <w:rsid w:val="00B45963"/>
    <w:rsid w:val="00B57DA9"/>
    <w:rsid w:val="00B716C2"/>
    <w:rsid w:val="00B9570A"/>
    <w:rsid w:val="00BB1312"/>
    <w:rsid w:val="00BC4AC1"/>
    <w:rsid w:val="00BD7D5A"/>
    <w:rsid w:val="00C156EC"/>
    <w:rsid w:val="00C2747F"/>
    <w:rsid w:val="00C354BA"/>
    <w:rsid w:val="00C433B9"/>
    <w:rsid w:val="00C52911"/>
    <w:rsid w:val="00C52C65"/>
    <w:rsid w:val="00C53FE8"/>
    <w:rsid w:val="00C54FB9"/>
    <w:rsid w:val="00C75091"/>
    <w:rsid w:val="00C91F73"/>
    <w:rsid w:val="00CA14EE"/>
    <w:rsid w:val="00CA1EE6"/>
    <w:rsid w:val="00CA3CFB"/>
    <w:rsid w:val="00CC07F6"/>
    <w:rsid w:val="00CD4E83"/>
    <w:rsid w:val="00CE0024"/>
    <w:rsid w:val="00CE33A5"/>
    <w:rsid w:val="00D1046F"/>
    <w:rsid w:val="00D12054"/>
    <w:rsid w:val="00D1314D"/>
    <w:rsid w:val="00D32FBB"/>
    <w:rsid w:val="00D36CE6"/>
    <w:rsid w:val="00D42962"/>
    <w:rsid w:val="00D43E83"/>
    <w:rsid w:val="00D45A48"/>
    <w:rsid w:val="00D5258C"/>
    <w:rsid w:val="00D5286B"/>
    <w:rsid w:val="00D73336"/>
    <w:rsid w:val="00D80D9B"/>
    <w:rsid w:val="00D843C1"/>
    <w:rsid w:val="00D84980"/>
    <w:rsid w:val="00DA0D2A"/>
    <w:rsid w:val="00DC19BF"/>
    <w:rsid w:val="00DC2C23"/>
    <w:rsid w:val="00E00403"/>
    <w:rsid w:val="00E03CD1"/>
    <w:rsid w:val="00E05C0D"/>
    <w:rsid w:val="00E24256"/>
    <w:rsid w:val="00E5468A"/>
    <w:rsid w:val="00E61761"/>
    <w:rsid w:val="00E659ED"/>
    <w:rsid w:val="00E72F23"/>
    <w:rsid w:val="00E81101"/>
    <w:rsid w:val="00E85A15"/>
    <w:rsid w:val="00EA0BAD"/>
    <w:rsid w:val="00EA663A"/>
    <w:rsid w:val="00EA7F4D"/>
    <w:rsid w:val="00EB0488"/>
    <w:rsid w:val="00EC45B5"/>
    <w:rsid w:val="00EF495E"/>
    <w:rsid w:val="00EF51DD"/>
    <w:rsid w:val="00EF718F"/>
    <w:rsid w:val="00F121D6"/>
    <w:rsid w:val="00F158B3"/>
    <w:rsid w:val="00F25360"/>
    <w:rsid w:val="00F45398"/>
    <w:rsid w:val="00F504E8"/>
    <w:rsid w:val="00F6050A"/>
    <w:rsid w:val="00F66900"/>
    <w:rsid w:val="00F730A7"/>
    <w:rsid w:val="00F81D68"/>
    <w:rsid w:val="00FA0356"/>
    <w:rsid w:val="00FC73E9"/>
    <w:rsid w:val="00FD12FF"/>
    <w:rsid w:val="00FD327B"/>
    <w:rsid w:val="00FE755E"/>
    <w:rsid w:val="00FF4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0" w:unhideWhenUsed="0" w:qFormat="1"/>
    <w:lsdException w:name="Intense Quote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0" w:unhideWhenUsed="0" w:qFormat="1"/>
    <w:lsdException w:name="Intense Emphasis" w:semiHidden="0" w:uiPriority="0" w:unhideWhenUsed="0" w:qFormat="1"/>
    <w:lsdException w:name="Subtle Reference" w:semiHidden="0" w:uiPriority="0" w:unhideWhenUsed="0" w:qFormat="1"/>
    <w:lsdException w:name="Intense Reference" w:semiHidden="0" w:uiPriority="0" w:unhideWhenUsed="0" w:qFormat="1"/>
    <w:lsdException w:name="Book Title" w:semiHidden="0" w:uiPriority="0" w:unhideWhenUsed="0" w:qFormat="1"/>
    <w:lsdException w:name="Bibliography" w:uiPriority="37"/>
    <w:lsdException w:name="TOC Heading" w:uiPriority="0" w:qFormat="1"/>
  </w:latentStyles>
  <w:style w:type="paragraph" w:default="1" w:styleId="Normal">
    <w:name w:val="Normal"/>
    <w:qFormat/>
    <w:rsid w:val="008402E2"/>
    <w:pPr>
      <w:shd w:val="clear" w:color="auto" w:fill="FFFFFF"/>
      <w:tabs>
        <w:tab w:val="left" w:pos="0"/>
      </w:tabs>
      <w:spacing w:after="0" w:line="360" w:lineRule="auto"/>
      <w:ind w:right="-29"/>
      <w:jc w:val="both"/>
    </w:pPr>
    <w:rPr>
      <w:rFonts w:ascii="Times New Roman" w:hAnsi="Times New Roman"/>
      <w:color w:val="000000"/>
      <w:sz w:val="28"/>
      <w:szCs w:val="28"/>
      <w:lang w:eastAsia="fr-FR"/>
    </w:rPr>
  </w:style>
  <w:style w:type="paragraph" w:styleId="Titre1">
    <w:name w:val="heading 1"/>
    <w:basedOn w:val="Normal"/>
    <w:next w:val="Normal"/>
    <w:link w:val="Titre1Car"/>
    <w:qFormat/>
    <w:rsid w:val="008402E2"/>
    <w:pPr>
      <w:keepNext/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 w:eastAsia="en-US" w:bidi="en-US"/>
    </w:rPr>
  </w:style>
  <w:style w:type="paragraph" w:styleId="Titre2">
    <w:name w:val="heading 2"/>
    <w:basedOn w:val="Normal"/>
    <w:next w:val="Normal"/>
    <w:link w:val="Titre2Car"/>
    <w:uiPriority w:val="9"/>
    <w:qFormat/>
    <w:rsid w:val="008402E2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lang w:val="en-US" w:eastAsia="en-US" w:bidi="en-US"/>
    </w:rPr>
  </w:style>
  <w:style w:type="paragraph" w:styleId="Titre3">
    <w:name w:val="heading 3"/>
    <w:basedOn w:val="Normal"/>
    <w:next w:val="Normal"/>
    <w:link w:val="Titre3Car"/>
    <w:qFormat/>
    <w:rsid w:val="008402E2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en-US" w:eastAsia="en-US" w:bidi="en-US"/>
    </w:rPr>
  </w:style>
  <w:style w:type="paragraph" w:styleId="Titre4">
    <w:name w:val="heading 4"/>
    <w:basedOn w:val="Normal"/>
    <w:next w:val="Normal"/>
    <w:link w:val="Titre4Car"/>
    <w:uiPriority w:val="9"/>
    <w:qFormat/>
    <w:rsid w:val="008402E2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lang w:val="en-US" w:eastAsia="en-US" w:bidi="en-US"/>
    </w:rPr>
  </w:style>
  <w:style w:type="paragraph" w:styleId="Titre5">
    <w:name w:val="heading 5"/>
    <w:basedOn w:val="Normal"/>
    <w:next w:val="Normal"/>
    <w:link w:val="Titre5Car"/>
    <w:qFormat/>
    <w:rsid w:val="008402E2"/>
    <w:pPr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 w:eastAsia="en-US" w:bidi="en-US"/>
    </w:rPr>
  </w:style>
  <w:style w:type="paragraph" w:styleId="Titre6">
    <w:name w:val="heading 6"/>
    <w:basedOn w:val="Normal"/>
    <w:next w:val="Normal"/>
    <w:link w:val="Titre6Car"/>
    <w:qFormat/>
    <w:rsid w:val="008402E2"/>
    <w:pPr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lang w:val="en-US" w:eastAsia="en-US" w:bidi="en-US"/>
    </w:rPr>
  </w:style>
  <w:style w:type="paragraph" w:styleId="Titre7">
    <w:name w:val="heading 7"/>
    <w:basedOn w:val="Normal"/>
    <w:next w:val="Normal"/>
    <w:link w:val="Titre7Car"/>
    <w:qFormat/>
    <w:rsid w:val="008402E2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paragraph" w:styleId="Titre8">
    <w:name w:val="heading 8"/>
    <w:basedOn w:val="Normal"/>
    <w:next w:val="Normal"/>
    <w:link w:val="Titre8Car"/>
    <w:qFormat/>
    <w:rsid w:val="008402E2"/>
    <w:pPr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 w:val="24"/>
      <w:szCs w:val="24"/>
      <w:lang w:val="en-US" w:eastAsia="en-US" w:bidi="en-US"/>
    </w:rPr>
  </w:style>
  <w:style w:type="paragraph" w:styleId="Titre9">
    <w:name w:val="heading 9"/>
    <w:basedOn w:val="Normal"/>
    <w:next w:val="Normal"/>
    <w:link w:val="Titre9Car"/>
    <w:qFormat/>
    <w:rsid w:val="008402E2"/>
    <w:pPr>
      <w:spacing w:before="240" w:after="60" w:line="240" w:lineRule="auto"/>
      <w:outlineLvl w:val="8"/>
    </w:pPr>
    <w:rPr>
      <w:rFonts w:ascii="Cambria" w:eastAsia="Times New Roman" w:hAnsi="Cambria" w:cs="Times New Roman"/>
      <w:lang w:val="en-US" w:eastAsia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402E2"/>
    <w:rPr>
      <w:rFonts w:ascii="Cambria" w:eastAsia="Times New Roman" w:hAnsi="Cambria" w:cs="Times New Roman"/>
      <w:b/>
      <w:bCs/>
      <w:color w:val="000000"/>
      <w:kern w:val="32"/>
      <w:sz w:val="32"/>
      <w:szCs w:val="32"/>
      <w:shd w:val="clear" w:color="auto" w:fill="FFFFFF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8402E2"/>
    <w:rPr>
      <w:rFonts w:ascii="Cambria" w:eastAsia="Times New Roman" w:hAnsi="Cambria" w:cs="Times New Roman"/>
      <w:b/>
      <w:bCs/>
      <w:i/>
      <w:iCs/>
      <w:color w:val="000000"/>
      <w:sz w:val="28"/>
      <w:szCs w:val="28"/>
      <w:shd w:val="clear" w:color="auto" w:fill="FFFFFF"/>
      <w:lang w:val="en-US" w:bidi="en-US"/>
    </w:rPr>
  </w:style>
  <w:style w:type="character" w:customStyle="1" w:styleId="Titre3Car">
    <w:name w:val="Titre 3 Car"/>
    <w:basedOn w:val="Policepardfaut"/>
    <w:link w:val="Titre3"/>
    <w:rsid w:val="008402E2"/>
    <w:rPr>
      <w:rFonts w:ascii="Cambria" w:eastAsia="Times New Roman" w:hAnsi="Cambria" w:cs="Times New Roman"/>
      <w:b/>
      <w:bCs/>
      <w:color w:val="000000"/>
      <w:sz w:val="26"/>
      <w:szCs w:val="26"/>
      <w:shd w:val="clear" w:color="auto" w:fill="FFFFFF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8402E2"/>
    <w:rPr>
      <w:rFonts w:ascii="Calibri" w:eastAsia="Times New Roman" w:hAnsi="Calibri" w:cs="Times New Roman"/>
      <w:b/>
      <w:bCs/>
      <w:color w:val="000000"/>
      <w:sz w:val="28"/>
      <w:szCs w:val="28"/>
      <w:shd w:val="clear" w:color="auto" w:fill="FFFFFF"/>
      <w:lang w:val="en-US" w:bidi="en-US"/>
    </w:rPr>
  </w:style>
  <w:style w:type="character" w:customStyle="1" w:styleId="Titre5Car">
    <w:name w:val="Titre 5 Car"/>
    <w:basedOn w:val="Policepardfaut"/>
    <w:link w:val="Titre5"/>
    <w:rsid w:val="008402E2"/>
    <w:rPr>
      <w:rFonts w:ascii="Calibri" w:eastAsia="Times New Roman" w:hAnsi="Calibri" w:cs="Times New Roman"/>
      <w:b/>
      <w:bCs/>
      <w:i/>
      <w:iCs/>
      <w:color w:val="000000"/>
      <w:sz w:val="26"/>
      <w:szCs w:val="26"/>
      <w:shd w:val="clear" w:color="auto" w:fill="FFFFFF"/>
      <w:lang w:val="en-US" w:bidi="en-US"/>
    </w:rPr>
  </w:style>
  <w:style w:type="character" w:customStyle="1" w:styleId="Titre6Car">
    <w:name w:val="Titre 6 Car"/>
    <w:basedOn w:val="Policepardfaut"/>
    <w:link w:val="Titre6"/>
    <w:rsid w:val="008402E2"/>
    <w:rPr>
      <w:rFonts w:ascii="Calibri" w:eastAsia="Times New Roman" w:hAnsi="Calibri" w:cs="Times New Roman"/>
      <w:b/>
      <w:bCs/>
      <w:color w:val="000000"/>
      <w:sz w:val="28"/>
      <w:szCs w:val="28"/>
      <w:shd w:val="clear" w:color="auto" w:fill="FFFFFF"/>
      <w:lang w:val="en-US" w:bidi="en-US"/>
    </w:rPr>
  </w:style>
  <w:style w:type="character" w:customStyle="1" w:styleId="Titre7Car">
    <w:name w:val="Titre 7 Car"/>
    <w:basedOn w:val="Policepardfaut"/>
    <w:link w:val="Titre7"/>
    <w:rsid w:val="008402E2"/>
    <w:rPr>
      <w:rFonts w:ascii="Calibri" w:eastAsia="Times New Roman" w:hAnsi="Calibri" w:cs="Times New Roman"/>
      <w:color w:val="000000"/>
      <w:sz w:val="24"/>
      <w:szCs w:val="24"/>
      <w:shd w:val="clear" w:color="auto" w:fill="FFFFFF"/>
      <w:lang w:val="en-US" w:bidi="en-US"/>
    </w:rPr>
  </w:style>
  <w:style w:type="character" w:customStyle="1" w:styleId="Titre8Car">
    <w:name w:val="Titre 8 Car"/>
    <w:basedOn w:val="Policepardfaut"/>
    <w:link w:val="Titre8"/>
    <w:rsid w:val="008402E2"/>
    <w:rPr>
      <w:rFonts w:ascii="Calibri" w:eastAsia="Times New Roman" w:hAnsi="Calibri" w:cs="Times New Roman"/>
      <w:i/>
      <w:iCs/>
      <w:color w:val="000000"/>
      <w:sz w:val="24"/>
      <w:szCs w:val="24"/>
      <w:shd w:val="clear" w:color="auto" w:fill="FFFFFF"/>
      <w:lang w:val="en-US" w:bidi="en-US"/>
    </w:rPr>
  </w:style>
  <w:style w:type="character" w:customStyle="1" w:styleId="Titre9Car">
    <w:name w:val="Titre 9 Car"/>
    <w:basedOn w:val="Policepardfaut"/>
    <w:link w:val="Titre9"/>
    <w:rsid w:val="008402E2"/>
    <w:rPr>
      <w:rFonts w:ascii="Cambria" w:eastAsia="Times New Roman" w:hAnsi="Cambria" w:cs="Times New Roman"/>
      <w:color w:val="000000"/>
      <w:sz w:val="28"/>
      <w:szCs w:val="28"/>
      <w:shd w:val="clear" w:color="auto" w:fill="FFFFFF"/>
      <w:lang w:val="en-US" w:bidi="en-US"/>
    </w:rPr>
  </w:style>
  <w:style w:type="paragraph" w:styleId="Lgende">
    <w:name w:val="caption"/>
    <w:basedOn w:val="Normal"/>
    <w:next w:val="Normal"/>
    <w:qFormat/>
    <w:rsid w:val="008402E2"/>
    <w:pPr>
      <w:spacing w:line="240" w:lineRule="auto"/>
    </w:pPr>
    <w:rPr>
      <w:rFonts w:ascii="Calibri" w:eastAsia="Times New Roman" w:hAnsi="Calibri" w:cs="Times New Roman"/>
      <w:caps/>
      <w:spacing w:val="10"/>
      <w:sz w:val="18"/>
      <w:szCs w:val="18"/>
      <w:lang w:val="en-US" w:eastAsia="en-US" w:bidi="en-US"/>
    </w:rPr>
  </w:style>
  <w:style w:type="paragraph" w:styleId="Titre">
    <w:name w:val="Title"/>
    <w:basedOn w:val="Normal"/>
    <w:next w:val="Normal"/>
    <w:link w:val="TitreCar"/>
    <w:qFormat/>
    <w:rsid w:val="008402E2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US" w:eastAsia="en-US" w:bidi="en-US"/>
    </w:rPr>
  </w:style>
  <w:style w:type="character" w:customStyle="1" w:styleId="TitreCar">
    <w:name w:val="Titre Car"/>
    <w:basedOn w:val="Policepardfaut"/>
    <w:link w:val="Titre"/>
    <w:rsid w:val="008402E2"/>
    <w:rPr>
      <w:rFonts w:ascii="Cambria" w:eastAsia="Times New Roman" w:hAnsi="Cambria" w:cs="Times New Roman"/>
      <w:b/>
      <w:bCs/>
      <w:color w:val="000000"/>
      <w:kern w:val="28"/>
      <w:sz w:val="32"/>
      <w:szCs w:val="32"/>
      <w:shd w:val="clear" w:color="auto" w:fill="FFFFFF"/>
      <w:lang w:val="en-US" w:bidi="en-US"/>
    </w:rPr>
  </w:style>
  <w:style w:type="paragraph" w:styleId="Sous-titre">
    <w:name w:val="Subtitle"/>
    <w:basedOn w:val="Normal"/>
    <w:link w:val="Sous-titreCar"/>
    <w:qFormat/>
    <w:rsid w:val="008402E2"/>
    <w:pPr>
      <w:spacing w:line="240" w:lineRule="auto"/>
    </w:pPr>
    <w:rPr>
      <w:rFonts w:eastAsia="Times New Roman" w:cs="Times New Roman"/>
      <w:lang w:eastAsia="it-IT"/>
    </w:rPr>
  </w:style>
  <w:style w:type="character" w:customStyle="1" w:styleId="Sous-titreCar">
    <w:name w:val="Sous-titre Car"/>
    <w:basedOn w:val="Policepardfaut"/>
    <w:link w:val="Sous-titre"/>
    <w:rsid w:val="008402E2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it-IT"/>
    </w:rPr>
  </w:style>
  <w:style w:type="character" w:styleId="lev">
    <w:name w:val="Strong"/>
    <w:basedOn w:val="Policepardfaut"/>
    <w:uiPriority w:val="22"/>
    <w:qFormat/>
    <w:rsid w:val="008402E2"/>
    <w:rPr>
      <w:b/>
      <w:bCs/>
    </w:rPr>
  </w:style>
  <w:style w:type="character" w:styleId="Accentuation">
    <w:name w:val="Emphasis"/>
    <w:basedOn w:val="Policepardfaut"/>
    <w:uiPriority w:val="20"/>
    <w:qFormat/>
    <w:rsid w:val="008402E2"/>
    <w:rPr>
      <w:rFonts w:ascii="Calibri" w:hAnsi="Calibri"/>
      <w:b/>
      <w:i/>
      <w:iCs/>
    </w:rPr>
  </w:style>
  <w:style w:type="paragraph" w:styleId="Sansinterligne">
    <w:name w:val="No Spacing"/>
    <w:basedOn w:val="Normal"/>
    <w:link w:val="SansinterligneCar"/>
    <w:qFormat/>
    <w:rsid w:val="008402E2"/>
    <w:pPr>
      <w:spacing w:line="240" w:lineRule="auto"/>
    </w:pPr>
    <w:rPr>
      <w:rFonts w:ascii="Calibri" w:eastAsia="Times New Roman" w:hAnsi="Calibri" w:cs="Times New Roman"/>
      <w:sz w:val="24"/>
      <w:szCs w:val="32"/>
      <w:lang w:val="en-US" w:eastAsia="en-US" w:bidi="en-US"/>
    </w:rPr>
  </w:style>
  <w:style w:type="character" w:customStyle="1" w:styleId="SansinterligneCar">
    <w:name w:val="Sans interligne Car"/>
    <w:basedOn w:val="Policepardfaut"/>
    <w:link w:val="Sansinterligne"/>
    <w:rsid w:val="008402E2"/>
    <w:rPr>
      <w:rFonts w:ascii="Calibri" w:eastAsia="Times New Roman" w:hAnsi="Calibri" w:cs="Times New Roman"/>
      <w:color w:val="000000"/>
      <w:sz w:val="24"/>
      <w:szCs w:val="32"/>
      <w:shd w:val="clear" w:color="auto" w:fill="FFFFFF"/>
      <w:lang w:val="en-US" w:bidi="en-US"/>
    </w:rPr>
  </w:style>
  <w:style w:type="paragraph" w:styleId="Paragraphedeliste">
    <w:name w:val="List Paragraph"/>
    <w:basedOn w:val="Normal"/>
    <w:qFormat/>
    <w:rsid w:val="008402E2"/>
    <w:pPr>
      <w:spacing w:line="240" w:lineRule="auto"/>
      <w:ind w:left="720"/>
      <w:contextualSpacing/>
    </w:pPr>
    <w:rPr>
      <w:rFonts w:ascii="Calibri" w:eastAsia="Times New Roman" w:hAnsi="Calibri" w:cs="Times New Roman"/>
      <w:sz w:val="24"/>
      <w:szCs w:val="24"/>
      <w:lang w:val="en-US" w:eastAsia="en-US" w:bidi="en-US"/>
    </w:rPr>
  </w:style>
  <w:style w:type="paragraph" w:styleId="Citation">
    <w:name w:val="Quote"/>
    <w:basedOn w:val="Normal"/>
    <w:next w:val="Normal"/>
    <w:link w:val="CitationCar"/>
    <w:qFormat/>
    <w:rsid w:val="008402E2"/>
    <w:pPr>
      <w:spacing w:line="240" w:lineRule="auto"/>
    </w:pPr>
    <w:rPr>
      <w:rFonts w:ascii="Calibri" w:eastAsia="Times New Roman" w:hAnsi="Calibri" w:cs="Times New Roman"/>
      <w:i/>
      <w:sz w:val="24"/>
      <w:szCs w:val="24"/>
      <w:lang w:val="en-US" w:eastAsia="en-US" w:bidi="en-US"/>
    </w:rPr>
  </w:style>
  <w:style w:type="character" w:customStyle="1" w:styleId="CitationCar">
    <w:name w:val="Citation Car"/>
    <w:basedOn w:val="Policepardfaut"/>
    <w:link w:val="Citation"/>
    <w:rsid w:val="008402E2"/>
    <w:rPr>
      <w:rFonts w:ascii="Calibri" w:eastAsia="Times New Roman" w:hAnsi="Calibri" w:cs="Times New Roman"/>
      <w:i/>
      <w:color w:val="000000"/>
      <w:sz w:val="24"/>
      <w:szCs w:val="24"/>
      <w:shd w:val="clear" w:color="auto" w:fill="FFFFFF"/>
      <w:lang w:val="en-US" w:bidi="en-US"/>
    </w:rPr>
  </w:style>
  <w:style w:type="paragraph" w:styleId="Citationintense">
    <w:name w:val="Intense Quote"/>
    <w:basedOn w:val="Normal"/>
    <w:next w:val="Normal"/>
    <w:link w:val="CitationintenseCar"/>
    <w:qFormat/>
    <w:rsid w:val="008402E2"/>
    <w:pPr>
      <w:spacing w:line="240" w:lineRule="auto"/>
      <w:ind w:left="720" w:right="720"/>
    </w:pPr>
    <w:rPr>
      <w:rFonts w:ascii="Calibri" w:eastAsia="Times New Roman" w:hAnsi="Calibri" w:cs="Times New Roman"/>
      <w:b/>
      <w:i/>
      <w:sz w:val="24"/>
      <w:lang w:val="en-US" w:eastAsia="en-US" w:bidi="en-US"/>
    </w:rPr>
  </w:style>
  <w:style w:type="character" w:customStyle="1" w:styleId="CitationintenseCar">
    <w:name w:val="Citation intense Car"/>
    <w:basedOn w:val="Policepardfaut"/>
    <w:link w:val="Citationintense"/>
    <w:rsid w:val="008402E2"/>
    <w:rPr>
      <w:rFonts w:ascii="Calibri" w:eastAsia="Times New Roman" w:hAnsi="Calibri" w:cs="Times New Roman"/>
      <w:b/>
      <w:i/>
      <w:color w:val="000000"/>
      <w:sz w:val="24"/>
      <w:szCs w:val="28"/>
      <w:shd w:val="clear" w:color="auto" w:fill="FFFFFF"/>
      <w:lang w:val="en-US" w:bidi="en-US"/>
    </w:rPr>
  </w:style>
  <w:style w:type="character" w:styleId="Emphaseple">
    <w:name w:val="Subtle Emphasis"/>
    <w:qFormat/>
    <w:rsid w:val="008402E2"/>
    <w:rPr>
      <w:i/>
      <w:color w:val="5A5A5A"/>
    </w:rPr>
  </w:style>
  <w:style w:type="character" w:styleId="Emphaseintense">
    <w:name w:val="Intense Emphasis"/>
    <w:basedOn w:val="Policepardfaut"/>
    <w:qFormat/>
    <w:rsid w:val="008402E2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qFormat/>
    <w:rsid w:val="008402E2"/>
    <w:rPr>
      <w:sz w:val="24"/>
      <w:szCs w:val="24"/>
      <w:u w:val="single"/>
    </w:rPr>
  </w:style>
  <w:style w:type="character" w:styleId="Rfrenceintense">
    <w:name w:val="Intense Reference"/>
    <w:basedOn w:val="Policepardfaut"/>
    <w:qFormat/>
    <w:rsid w:val="008402E2"/>
    <w:rPr>
      <w:b/>
      <w:sz w:val="24"/>
      <w:u w:val="single"/>
    </w:rPr>
  </w:style>
  <w:style w:type="character" w:styleId="Titredulivre">
    <w:name w:val="Book Title"/>
    <w:basedOn w:val="Policepardfaut"/>
    <w:qFormat/>
    <w:rsid w:val="008402E2"/>
    <w:rPr>
      <w:rFonts w:ascii="Cambria" w:eastAsia="Times New Roman" w:hAnsi="Cambria"/>
      <w:b/>
      <w:i/>
      <w:sz w:val="24"/>
      <w:szCs w:val="24"/>
    </w:rPr>
  </w:style>
  <w:style w:type="paragraph" w:styleId="En-ttedetabledesmatires">
    <w:name w:val="TOC Heading"/>
    <w:basedOn w:val="Titre1"/>
    <w:next w:val="Normal"/>
    <w:qFormat/>
    <w:rsid w:val="008402E2"/>
    <w:pPr>
      <w:outlineLvl w:val="9"/>
    </w:pPr>
  </w:style>
  <w:style w:type="paragraph" w:styleId="Notedebasdepage">
    <w:name w:val="footnote text"/>
    <w:basedOn w:val="Normal"/>
    <w:link w:val="NotedebasdepageCar"/>
    <w:rsid w:val="00172640"/>
    <w:pPr>
      <w:spacing w:line="240" w:lineRule="auto"/>
    </w:pPr>
    <w:rPr>
      <w:rFonts w:eastAsia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72640"/>
    <w:rPr>
      <w:rFonts w:ascii="Times New Roman" w:eastAsia="Times New Roman" w:hAnsi="Times New Roman" w:cs="Times New Roman"/>
      <w:color w:val="000000"/>
      <w:sz w:val="20"/>
      <w:szCs w:val="20"/>
      <w:shd w:val="clear" w:color="auto" w:fill="FFFFFF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D843C1"/>
    <w:rPr>
      <w:color w:val="0000FF"/>
      <w:u w:val="single"/>
    </w:rPr>
  </w:style>
  <w:style w:type="paragraph" w:customStyle="1" w:styleId="p72">
    <w:name w:val="p72"/>
    <w:basedOn w:val="Normal"/>
    <w:rsid w:val="00DC19BF"/>
    <w:pPr>
      <w:widowControl w:val="0"/>
      <w:shd w:val="clear" w:color="auto" w:fill="auto"/>
      <w:tabs>
        <w:tab w:val="clear" w:pos="0"/>
      </w:tabs>
      <w:autoSpaceDE w:val="0"/>
      <w:autoSpaceDN w:val="0"/>
      <w:adjustRightInd w:val="0"/>
      <w:spacing w:line="240" w:lineRule="atLeast"/>
      <w:ind w:left="288" w:right="0" w:hanging="144"/>
      <w:jc w:val="left"/>
    </w:pPr>
    <w:rPr>
      <w:rFonts w:eastAsia="Times New Roman" w:cs="Times New Roman"/>
      <w:color w:val="auto"/>
      <w:sz w:val="20"/>
      <w:szCs w:val="24"/>
    </w:rPr>
  </w:style>
  <w:style w:type="paragraph" w:customStyle="1" w:styleId="p74">
    <w:name w:val="p74"/>
    <w:basedOn w:val="Normal"/>
    <w:rsid w:val="00304CFA"/>
    <w:pPr>
      <w:widowControl w:val="0"/>
      <w:shd w:val="clear" w:color="auto" w:fill="auto"/>
      <w:tabs>
        <w:tab w:val="clear" w:pos="0"/>
        <w:tab w:val="left" w:pos="780"/>
      </w:tabs>
      <w:autoSpaceDE w:val="0"/>
      <w:autoSpaceDN w:val="0"/>
      <w:adjustRightInd w:val="0"/>
      <w:spacing w:line="240" w:lineRule="atLeast"/>
      <w:ind w:left="288" w:right="0" w:hanging="432"/>
      <w:jc w:val="left"/>
    </w:pPr>
    <w:rPr>
      <w:rFonts w:eastAsia="Times New Roman" w:cs="Times New Roman"/>
      <w:color w:val="auto"/>
      <w:sz w:val="20"/>
      <w:szCs w:val="24"/>
    </w:rPr>
  </w:style>
  <w:style w:type="paragraph" w:customStyle="1" w:styleId="p6">
    <w:name w:val="p6"/>
    <w:basedOn w:val="Normal"/>
    <w:rsid w:val="00D36CE6"/>
    <w:pPr>
      <w:widowControl w:val="0"/>
      <w:shd w:val="clear" w:color="auto" w:fill="auto"/>
      <w:tabs>
        <w:tab w:val="clear" w:pos="0"/>
        <w:tab w:val="left" w:pos="360"/>
        <w:tab w:val="left" w:pos="920"/>
      </w:tabs>
      <w:autoSpaceDE w:val="0"/>
      <w:autoSpaceDN w:val="0"/>
      <w:adjustRightInd w:val="0"/>
      <w:spacing w:line="240" w:lineRule="atLeast"/>
      <w:ind w:left="576" w:right="0" w:hanging="432"/>
      <w:jc w:val="left"/>
    </w:pPr>
    <w:rPr>
      <w:rFonts w:eastAsia="Times New Roman" w:cs="Times New Roman"/>
      <w:color w:val="auto"/>
      <w:sz w:val="20"/>
      <w:szCs w:val="24"/>
    </w:rPr>
  </w:style>
  <w:style w:type="character" w:customStyle="1" w:styleId="apple-converted-space">
    <w:name w:val="apple-converted-space"/>
    <w:basedOn w:val="Policepardfaut"/>
    <w:rsid w:val="00E81101"/>
  </w:style>
  <w:style w:type="paragraph" w:styleId="Textedebulles">
    <w:name w:val="Balloon Text"/>
    <w:basedOn w:val="Normal"/>
    <w:link w:val="TextedebullesCar"/>
    <w:uiPriority w:val="99"/>
    <w:semiHidden/>
    <w:unhideWhenUsed/>
    <w:rsid w:val="00E811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101"/>
    <w:rPr>
      <w:rFonts w:ascii="Tahoma" w:hAnsi="Tahoma" w:cs="Tahoma"/>
      <w:color w:val="000000"/>
      <w:sz w:val="16"/>
      <w:szCs w:val="16"/>
      <w:shd w:val="clear" w:color="auto" w:fill="FFFFFF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5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135F9-08F6-4452-9071-4179465B6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1344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nejma</dc:creator>
  <cp:lastModifiedBy>HP</cp:lastModifiedBy>
  <cp:revision>5</cp:revision>
  <cp:lastPrinted>2016-05-03T04:34:00Z</cp:lastPrinted>
  <dcterms:created xsi:type="dcterms:W3CDTF">2022-04-09T11:15:00Z</dcterms:created>
  <dcterms:modified xsi:type="dcterms:W3CDTF">2022-04-10T10:21:00Z</dcterms:modified>
</cp:coreProperties>
</file>