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b/>
          <w:color w:val="2E74B5"/>
          <w:sz w:val="19"/>
        </w:rPr>
        <w:t>PRODUCT STRATEGY REPORT</w:t>
      </w:r>
    </w:p>
    <w:p>
      <w:pPr>
        <w:spacing w:after="240"/>
        <w:jc w:val="center"/>
      </w:pPr>
      <w:r>
        <w:rPr>
          <w:rFonts w:ascii="Calibri" w:hAnsi="Calibri"/>
          <w:b/>
          <w:color w:val="15243A"/>
          <w:sz w:val="60"/>
        </w:rPr>
        <w:t>Rasputin Feature Expansion Strategy</w:t>
      </w:r>
    </w:p>
    <w:p>
      <w:pPr>
        <w:spacing w:after="560"/>
        <w:jc w:val="center"/>
      </w:pPr>
      <w:r>
        <w:rPr>
          <w:rFonts w:ascii="Calibri" w:hAnsi="Calibri"/>
          <w:i/>
          <w:color w:val="5B6573"/>
          <w:sz w:val="26"/>
        </w:rPr>
        <w:t>A prioritized roadmap for expanding a local-first AI workbench into a broader private automation platform</w:t>
      </w:r>
    </w:p>
    <w:p>
      <w:pPr>
        <w:spacing w:before="80" w:after="200"/>
        <w:ind w:left="115" w:right="115"/>
        <w:shd w:fill="F4F6F9"/>
        <w:pBdr>
          <w:left w:val="single" w:sz="18" w:space="8" w:color="2E74B5"/>
        </w:pBdr>
      </w:pPr>
      <w:r>
        <w:rPr>
          <w:rFonts w:ascii="Calibri" w:hAnsi="Calibri"/>
          <w:b/>
          <w:color w:val="2E74B5"/>
          <w:sz w:val="18"/>
        </w:rPr>
        <w:t xml:space="preserve">STRATEGIC THESIS  </w:t>
      </w:r>
      <w:r>
        <w:rPr>
          <w:rFonts w:ascii="Calibri" w:hAnsi="Calibri"/>
          <w:color w:val="15243A"/>
          <w:sz w:val="21"/>
        </w:rPr>
        <w:t>The fastest path to more use cases is to complete the application loops already implied by Rasputin's architecture: ingest real work, act through trusted connectors, produce durable artifacts, automate repeatable workflows, and make every local model prove it can perform the selected job before the user waits.</w:t>
      </w:r>
    </w:p>
    <w:p/>
    <w:p/>
    <w:p/>
    <w:p>
      <w:pPr>
        <w:jc w:val="center"/>
      </w:pPr>
      <w:r>
        <w:rPr>
          <w:rFonts w:ascii="Calibri" w:hAnsi="Calibri"/>
          <w:i w:val="0"/>
          <w:color w:val="5B6573"/>
          <w:sz w:val="22"/>
        </w:rPr>
        <w:t>Prepared from a source-level audit of the Rasputin repository</w:t>
      </w:r>
    </w:p>
    <w:p>
      <w:pPr>
        <w:jc w:val="center"/>
      </w:pPr>
      <w:r>
        <w:rPr>
          <w:rFonts w:ascii="Calibri" w:hAnsi="Calibri"/>
          <w:i w:val="0"/>
          <w:color w:val="5B6573"/>
          <w:sz w:val="22"/>
        </w:rPr>
        <w:t>Current-state review: July 16, 2026</w:t>
      </w:r>
    </w:p>
    <w:p>
      <w:r>
        <w:br w:type="page"/>
      </w:r>
    </w:p>
    <w:p>
      <w:pPr>
        <w:pStyle w:val="Heading1"/>
        <w:keepNext/>
      </w:pPr>
      <w:r>
        <w:t>Executive summary</w:t>
      </w:r>
    </w:p>
    <w:p>
      <w:r>
        <w:rPr>
          <w:rFonts w:ascii="Calibri" w:hAnsi="Calibri"/>
          <w:i w:val="0"/>
          <w:sz w:val="22"/>
        </w:rPr>
        <w:t>Rasputin already has the bones of a differentiated product: local and cloud model routing, permission-gated tools, multi-step agents, durable tasks, approvals, workspace-scoped RAG and knowledge graphs, multi-user access, connector configuration, skills, schedules, artifacts, trials, and WarSat model deployment. The primary growth opportunity is not adding another chat mode. It is converting these foundations into complete workflows that begin with real inputs and end with a useful, reviewable outcome.</w:t>
      </w:r>
    </w:p>
    <w:p>
      <w:pPr>
        <w:spacing w:before="80" w:after="200"/>
        <w:ind w:left="115" w:right="115"/>
        <w:shd w:fill="F4F6F9"/>
        <w:pBdr>
          <w:left w:val="single" w:sz="18" w:space="8" w:color="2E74B5"/>
        </w:pBdr>
      </w:pPr>
      <w:r>
        <w:rPr>
          <w:rFonts w:ascii="Calibri" w:hAnsi="Calibri"/>
          <w:b/>
          <w:color w:val="2E74B5"/>
          <w:sz w:val="18"/>
        </w:rPr>
        <w:t xml:space="preserve">RECOMMENDATION  </w:t>
      </w:r>
      <w:r>
        <w:rPr>
          <w:rFonts w:ascii="Calibri" w:hAnsi="Calibri"/>
          <w:color w:val="15243A"/>
          <w:sz w:val="21"/>
        </w:rPr>
        <w:t>Concentrate the next two release cycles on five product loops: universal input, professional artifacts, executable automations, production connectors, and a dependable coding workflow. These loops create immediate value for developers, analysts, operators, administrators, and privacy-sensitive teams without abandoning the self-hosted product direction.</w:t>
      </w:r>
    </w:p>
    <w:p>
      <w:pPr>
        <w:pStyle w:val="Heading2"/>
        <w:keepNext/>
      </w:pPr>
      <w:r>
        <w:t>The five bets</w:t>
      </w:r>
    </w:p>
    <w:p>
      <w:pPr>
        <w:pStyle w:val="ListBullet"/>
      </w:pPr>
      <w:r>
        <w:rPr>
          <w:rFonts w:ascii="Calibri" w:hAnsi="Calibri"/>
          <w:sz w:val="22"/>
        </w:rPr>
        <w:t>Universal input: accept files, folders, screenshots, audio, URLs, and pasted content, then route them through local extraction, OCR, indexing, and task creation.</w:t>
      </w:r>
    </w:p>
    <w:p>
      <w:pPr>
        <w:pStyle w:val="ListBullet"/>
      </w:pPr>
      <w:r>
        <w:rPr>
          <w:rFonts w:ascii="Calibri" w:hAnsi="Calibri"/>
          <w:sz w:val="22"/>
        </w:rPr>
        <w:t>Artifact Studio: turn answers into editable Markdown, DOCX, PDF, XLSX, PPTX, code patches, reports, and reusable templates with version history.</w:t>
      </w:r>
    </w:p>
    <w:p>
      <w:pPr>
        <w:pStyle w:val="ListBullet"/>
      </w:pPr>
      <w:r>
        <w:rPr>
          <w:rFonts w:ascii="Calibri" w:hAnsi="Calibri"/>
          <w:sz w:val="22"/>
        </w:rPr>
        <w:t>Workflow automation: make schedules, event triggers, approvals, retries, and output delivery execute real tasks instead of remaining isolated definitions.</w:t>
      </w:r>
    </w:p>
    <w:p>
      <w:pPr>
        <w:pStyle w:val="ListBullet"/>
      </w:pPr>
      <w:r>
        <w:rPr>
          <w:rFonts w:ascii="Calibri" w:hAnsi="Calibri"/>
          <w:sz w:val="22"/>
        </w:rPr>
        <w:t>Connector action layer: finish OAuth and provide governed read/write tools for email, calendars, drives, collaboration systems, Git hosting, ticketing, and webhooks.</w:t>
      </w:r>
    </w:p>
    <w:p>
      <w:pPr>
        <w:pStyle w:val="ListBullet"/>
      </w:pPr>
      <w:r>
        <w:rPr>
          <w:rFonts w:ascii="Calibri" w:hAnsi="Calibri"/>
          <w:sz w:val="22"/>
        </w:rPr>
        <w:t>Dependable coding agent: complete capability preflight, workspace commands UI, issue-to-patch flows, diff review, terminal visibility, CI integration, and local-model validation.</w:t>
      </w:r>
    </w:p>
    <w:p>
      <w:pPr>
        <w:pStyle w:val="Heading2"/>
        <w:keepNext/>
      </w:pPr>
      <w:r>
        <w:t>Recommended sequencing</w:t>
      </w:r>
    </w:p>
    <w:tbl>
      <w:tblPr>
        <w:tblStyle w:val="TableGrid"/>
        <w:tblW w:type="dxa" w:w="9360"/>
        <w:jc w:val="left"/>
        <w:tblLayout w:type="fixed"/>
        <w:tblLook w:firstColumn="1" w:firstRow="1" w:lastColumn="0" w:lastRow="0" w:noHBand="0" w:noVBand="1" w:val="04A0"/>
        <w:tblInd w:w="120" w:type="dxa"/>
      </w:tblPr>
      <w:tblGrid>
        <w:gridCol w:w="1400"/>
        <w:gridCol w:w="2600"/>
        <w:gridCol w:w="5360"/>
      </w:tblGrid>
      <w:tr>
        <w:trPr>
          <w:tblHeader w:val="true"/>
          <w:cantSplit/>
        </w:trPr>
        <w:tc>
          <w:tcPr>
            <w:tcW w:type="dxa" w:w="1400"/>
            <w:shd w:fill="E8EEF5"/>
            <w:tcMar>
              <w:top w:w="80" w:type="dxa"/>
              <w:start w:w="120" w:type="dxa"/>
              <w:bottom w:w="80" w:type="dxa"/>
              <w:end w:w="120" w:type="dxa"/>
            </w:tcMar>
            <w:vAlign w:val="center"/>
          </w:tcPr>
          <w:p>
            <w:pPr>
              <w:spacing w:after="0"/>
              <w:jc w:val="left"/>
            </w:pPr>
            <w:r>
              <w:rPr>
                <w:rFonts w:ascii="Calibri" w:hAnsi="Calibri"/>
                <w:b/>
                <w:color w:val="15243A"/>
                <w:sz w:val="18"/>
              </w:rPr>
              <w:t>Horizon</w:t>
            </w:r>
          </w:p>
        </w:tc>
        <w:tc>
          <w:tcPr>
            <w:tcW w:type="dxa" w:w="2600"/>
            <w:shd w:fill="E8EEF5"/>
            <w:tcMar>
              <w:top w:w="80" w:type="dxa"/>
              <w:start w:w="120" w:type="dxa"/>
              <w:bottom w:w="80" w:type="dxa"/>
              <w:end w:w="120" w:type="dxa"/>
            </w:tcMar>
            <w:vAlign w:val="center"/>
          </w:tcPr>
          <w:p>
            <w:pPr>
              <w:spacing w:after="0"/>
              <w:jc w:val="left"/>
            </w:pPr>
            <w:r>
              <w:rPr>
                <w:rFonts w:ascii="Calibri" w:hAnsi="Calibri"/>
                <w:b/>
                <w:color w:val="15243A"/>
                <w:sz w:val="18"/>
              </w:rPr>
              <w:t>Product objective</w:t>
            </w:r>
          </w:p>
        </w:tc>
        <w:tc>
          <w:tcPr>
            <w:tcW w:type="dxa" w:w="5360"/>
            <w:shd w:fill="E8EEF5"/>
            <w:tcMar>
              <w:top w:w="80" w:type="dxa"/>
              <w:start w:w="120" w:type="dxa"/>
              <w:bottom w:w="80" w:type="dxa"/>
              <w:end w:w="120" w:type="dxa"/>
            </w:tcMar>
            <w:vAlign w:val="center"/>
          </w:tcPr>
          <w:p>
            <w:pPr>
              <w:spacing w:after="0"/>
              <w:jc w:val="left"/>
            </w:pPr>
            <w:r>
              <w:rPr>
                <w:rFonts w:ascii="Calibri" w:hAnsi="Calibri"/>
                <w:b/>
                <w:color w:val="15243A"/>
                <w:sz w:val="18"/>
              </w:rPr>
              <w:t>Representative outcomes</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5243A"/>
                <w:sz w:val="18"/>
              </w:rPr>
              <w:t>0-6 weeks</w:t>
            </w:r>
          </w:p>
        </w:tc>
        <w:tc>
          <w:tcPr>
            <w:tcW w:type="dxa" w:w="2600"/>
            <w:tcMar>
              <w:top w:w="80" w:type="dxa"/>
              <w:start w:w="120" w:type="dxa"/>
              <w:bottom w:w="80" w:type="dxa"/>
              <w:end w:w="120" w:type="dxa"/>
            </w:tcMar>
            <w:vAlign w:val="center"/>
          </w:tcPr>
          <w:p>
            <w:pPr>
              <w:spacing w:after="0"/>
            </w:pPr>
            <w:r>
              <w:rPr>
                <w:rFonts w:ascii="Calibri" w:hAnsi="Calibri"/>
                <w:color w:val="15243A"/>
                <w:sz w:val="18"/>
              </w:rPr>
              <w:t>Close trust and usability gaps</w:t>
            </w:r>
          </w:p>
        </w:tc>
        <w:tc>
          <w:tcPr>
            <w:tcW w:type="dxa" w:w="5360"/>
            <w:tcMar>
              <w:top w:w="80" w:type="dxa"/>
              <w:start w:w="120" w:type="dxa"/>
              <w:bottom w:w="80" w:type="dxa"/>
              <w:end w:w="120" w:type="dxa"/>
            </w:tcMar>
            <w:vAlign w:val="center"/>
          </w:tcPr>
          <w:p>
            <w:pPr>
              <w:spacing w:after="0"/>
            </w:pPr>
            <w:r>
              <w:rPr>
                <w:rFonts w:ascii="Calibri" w:hAnsi="Calibri"/>
                <w:color w:val="15243A"/>
                <w:sz w:val="18"/>
              </w:rPr>
              <w:t>Capability preflight, attachments, workspace command setup, backup/restore, schedule execution, connector readiness labels</w:t>
            </w:r>
          </w:p>
        </w:tc>
      </w:tr>
      <w:tr>
        <w:trPr>
          <w:cantSplit/>
        </w:trPr>
        <w:tc>
          <w:tcPr>
            <w:tcW w:type="dxa" w:w="1400"/>
            <w:shd w:fill="FAFBFC"/>
            <w:tcMar>
              <w:top w:w="80" w:type="dxa"/>
              <w:start w:w="120" w:type="dxa"/>
              <w:bottom w:w="80" w:type="dxa"/>
              <w:end w:w="120" w:type="dxa"/>
            </w:tcMar>
            <w:vAlign w:val="center"/>
          </w:tcPr>
          <w:p>
            <w:pPr>
              <w:spacing w:after="0"/>
            </w:pPr>
            <w:r>
              <w:rPr>
                <w:rFonts w:ascii="Calibri" w:hAnsi="Calibri"/>
                <w:color w:val="15243A"/>
                <w:sz w:val="18"/>
              </w:rPr>
              <w:t>6-16 weeks</w:t>
            </w:r>
          </w:p>
        </w:tc>
        <w:tc>
          <w:tcPr>
            <w:tcW w:type="dxa" w:w="2600"/>
            <w:shd w:fill="FAFBFC"/>
            <w:tcMar>
              <w:top w:w="80" w:type="dxa"/>
              <w:start w:w="120" w:type="dxa"/>
              <w:bottom w:w="80" w:type="dxa"/>
              <w:end w:w="120" w:type="dxa"/>
            </w:tcMar>
            <w:vAlign w:val="center"/>
          </w:tcPr>
          <w:p>
            <w:pPr>
              <w:spacing w:after="0"/>
            </w:pPr>
            <w:r>
              <w:rPr>
                <w:rFonts w:ascii="Calibri" w:hAnsi="Calibri"/>
                <w:color w:val="15243A"/>
                <w:sz w:val="18"/>
              </w:rPr>
              <w:t>Create repeatable end-to-end work</w:t>
            </w:r>
          </w:p>
        </w:tc>
        <w:tc>
          <w:tcPr>
            <w:tcW w:type="dxa" w:w="5360"/>
            <w:shd w:fill="FAFBFC"/>
            <w:tcMar>
              <w:top w:w="80" w:type="dxa"/>
              <w:start w:w="120" w:type="dxa"/>
              <w:bottom w:w="80" w:type="dxa"/>
              <w:end w:w="120" w:type="dxa"/>
            </w:tcMar>
            <w:vAlign w:val="center"/>
          </w:tcPr>
          <w:p>
            <w:pPr>
              <w:spacing w:after="0"/>
            </w:pPr>
            <w:r>
              <w:rPr>
                <w:rFonts w:ascii="Calibri" w:hAnsi="Calibri"/>
                <w:color w:val="15243A"/>
                <w:sz w:val="18"/>
              </w:rPr>
              <w:t>Artifact Studio, watched folders, workflow templates, email/calendar/drive actions, issue-to-patch, evaluation gates</w:t>
            </w:r>
          </w:p>
        </w:tc>
      </w:tr>
      <w:tr>
        <w:trPr>
          <w:cantSplit/>
        </w:trPr>
        <w:tc>
          <w:tcPr>
            <w:tcW w:type="dxa" w:w="1400"/>
            <w:tcMar>
              <w:top w:w="80" w:type="dxa"/>
              <w:start w:w="120" w:type="dxa"/>
              <w:bottom w:w="80" w:type="dxa"/>
              <w:end w:w="120" w:type="dxa"/>
            </w:tcMar>
            <w:vAlign w:val="center"/>
          </w:tcPr>
          <w:p>
            <w:pPr>
              <w:spacing w:after="0"/>
            </w:pPr>
            <w:r>
              <w:rPr>
                <w:rFonts w:ascii="Calibri" w:hAnsi="Calibri"/>
                <w:color w:val="15243A"/>
                <w:sz w:val="18"/>
              </w:rPr>
              <w:t>4-8 months</w:t>
            </w:r>
          </w:p>
        </w:tc>
        <w:tc>
          <w:tcPr>
            <w:tcW w:type="dxa" w:w="2600"/>
            <w:tcMar>
              <w:top w:w="80" w:type="dxa"/>
              <w:start w:w="120" w:type="dxa"/>
              <w:bottom w:w="80" w:type="dxa"/>
              <w:end w:w="120" w:type="dxa"/>
            </w:tcMar>
            <w:vAlign w:val="center"/>
          </w:tcPr>
          <w:p>
            <w:pPr>
              <w:spacing w:after="0"/>
            </w:pPr>
            <w:r>
              <w:rPr>
                <w:rFonts w:ascii="Calibri" w:hAnsi="Calibri"/>
                <w:color w:val="15243A"/>
                <w:sz w:val="18"/>
              </w:rPr>
              <w:t>Expand team and regulated use</w:t>
            </w:r>
          </w:p>
        </w:tc>
        <w:tc>
          <w:tcPr>
            <w:tcW w:type="dxa" w:w="5360"/>
            <w:tcMar>
              <w:top w:w="80" w:type="dxa"/>
              <w:start w:w="120" w:type="dxa"/>
              <w:bottom w:w="80" w:type="dxa"/>
              <w:end w:w="120" w:type="dxa"/>
            </w:tcMar>
            <w:vAlign w:val="center"/>
          </w:tcPr>
          <w:p>
            <w:pPr>
              <w:spacing w:after="0"/>
            </w:pPr>
            <w:r>
              <w:rPr>
                <w:rFonts w:ascii="Calibri" w:hAnsi="Calibri"/>
                <w:color w:val="15243A"/>
                <w:sz w:val="18"/>
              </w:rPr>
              <w:t>Shared hubs, assignment/review, SSO/LDAP, policy packs, OCR/vision/voice, browser automation, reporting</w:t>
            </w:r>
          </w:p>
        </w:tc>
      </w:tr>
      <w:tr>
        <w:trPr>
          <w:cantSplit/>
        </w:trPr>
        <w:tc>
          <w:tcPr>
            <w:tcW w:type="dxa" w:w="1400"/>
            <w:shd w:fill="FAFBFC"/>
            <w:tcMar>
              <w:top w:w="80" w:type="dxa"/>
              <w:start w:w="120" w:type="dxa"/>
              <w:bottom w:w="80" w:type="dxa"/>
              <w:end w:w="120" w:type="dxa"/>
            </w:tcMar>
            <w:vAlign w:val="center"/>
          </w:tcPr>
          <w:p>
            <w:pPr>
              <w:spacing w:after="0"/>
            </w:pPr>
            <w:r>
              <w:rPr>
                <w:rFonts w:ascii="Calibri" w:hAnsi="Calibri"/>
                <w:color w:val="15243A"/>
                <w:sz w:val="18"/>
              </w:rPr>
              <w:t>8-12 months</w:t>
            </w:r>
          </w:p>
        </w:tc>
        <w:tc>
          <w:tcPr>
            <w:tcW w:type="dxa" w:w="2600"/>
            <w:shd w:fill="FAFBFC"/>
            <w:tcMar>
              <w:top w:w="80" w:type="dxa"/>
              <w:start w:w="120" w:type="dxa"/>
              <w:bottom w:w="80" w:type="dxa"/>
              <w:end w:w="120" w:type="dxa"/>
            </w:tcMar>
            <w:vAlign w:val="center"/>
          </w:tcPr>
          <w:p>
            <w:pPr>
              <w:spacing w:after="0"/>
            </w:pPr>
            <w:r>
              <w:rPr>
                <w:rFonts w:ascii="Calibri" w:hAnsi="Calibri"/>
                <w:color w:val="15243A"/>
                <w:sz w:val="18"/>
              </w:rPr>
              <w:t>Build an ecosystem</w:t>
            </w:r>
          </w:p>
        </w:tc>
        <w:tc>
          <w:tcPr>
            <w:tcW w:type="dxa" w:w="5360"/>
            <w:shd w:fill="FAFBFC"/>
            <w:tcMar>
              <w:top w:w="80" w:type="dxa"/>
              <w:start w:w="120" w:type="dxa"/>
              <w:bottom w:w="80" w:type="dxa"/>
              <w:end w:w="120" w:type="dxa"/>
            </w:tcMar>
            <w:vAlign w:val="center"/>
          </w:tcPr>
          <w:p>
            <w:pPr>
              <w:spacing w:after="0"/>
            </w:pPr>
            <w:r>
              <w:rPr>
                <w:rFonts w:ascii="Calibri" w:hAnsi="Calibri"/>
                <w:color w:val="15243A"/>
                <w:sz w:val="18"/>
              </w:rPr>
              <w:t>Plugin SDK, vertical solution packs, deployment/update channels, enterprise observability and support bundles</w:t>
            </w:r>
          </w:p>
        </w:tc>
      </w:tr>
    </w:tbl>
    <w:p>
      <w:pPr>
        <w:spacing w:after="0"/>
      </w:pPr>
    </w:p>
    <w:p>
      <w:r>
        <w:br w:type="page"/>
      </w:r>
    </w:p>
    <w:p>
      <w:pPr>
        <w:pStyle w:val="Heading1"/>
        <w:keepNext/>
      </w:pPr>
      <w:r>
        <w:t>1. Current product foundation</w:t>
      </w:r>
    </w:p>
    <w:p>
      <w:r>
        <w:rPr>
          <w:rFonts w:ascii="Calibri" w:hAnsi="Calibri"/>
          <w:i w:val="0"/>
          <w:sz w:val="22"/>
        </w:rPr>
        <w:t>The strategy treats the repository as the source of truth. Features below are recommendations only when the current code does not already provide a complete user outcome. Existing foundations are listed to show where Rasputin can extend rather than rebuild.</w:t>
      </w:r>
    </w:p>
    <w:tbl>
      <w:tblPr>
        <w:tblStyle w:val="TableGrid"/>
        <w:tblW w:type="dxa" w:w="9360"/>
        <w:jc w:val="left"/>
        <w:tblLayout w:type="fixed"/>
        <w:tblLook w:firstColumn="1" w:firstRow="1" w:lastColumn="0" w:lastRow="0" w:noHBand="0" w:noVBand="1" w:val="04A0"/>
        <w:tblInd w:w="120" w:type="dxa"/>
      </w:tblPr>
      <w:tblGrid>
        <w:gridCol w:w="2200"/>
        <w:gridCol w:w="2700"/>
        <w:gridCol w:w="44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rFonts w:ascii="Calibri" w:hAnsi="Calibri"/>
                <w:b/>
                <w:color w:val="15243A"/>
                <w:sz w:val="17"/>
              </w:rPr>
              <w:t>Foundation already present</w:t>
            </w:r>
          </w:p>
        </w:tc>
        <w:tc>
          <w:tcPr>
            <w:tcW w:type="dxa" w:w="2700"/>
            <w:shd w:fill="E8EEF5"/>
            <w:tcMar>
              <w:top w:w="80" w:type="dxa"/>
              <w:start w:w="120" w:type="dxa"/>
              <w:bottom w:w="80" w:type="dxa"/>
              <w:end w:w="120" w:type="dxa"/>
            </w:tcMar>
            <w:vAlign w:val="center"/>
          </w:tcPr>
          <w:p>
            <w:pPr>
              <w:spacing w:after="0"/>
              <w:jc w:val="left"/>
            </w:pPr>
            <w:r>
              <w:rPr>
                <w:rFonts w:ascii="Calibri" w:hAnsi="Calibri"/>
                <w:b/>
                <w:color w:val="15243A"/>
                <w:sz w:val="17"/>
              </w:rPr>
              <w:t>What it enables</w:t>
            </w:r>
          </w:p>
        </w:tc>
        <w:tc>
          <w:tcPr>
            <w:tcW w:type="dxa" w:w="4460"/>
            <w:shd w:fill="E8EEF5"/>
            <w:tcMar>
              <w:top w:w="80" w:type="dxa"/>
              <w:start w:w="120" w:type="dxa"/>
              <w:bottom w:w="80" w:type="dxa"/>
              <w:end w:w="120" w:type="dxa"/>
            </w:tcMar>
            <w:vAlign w:val="center"/>
          </w:tcPr>
          <w:p>
            <w:pPr>
              <w:spacing w:after="0"/>
              <w:jc w:val="left"/>
            </w:pPr>
            <w:r>
              <w:rPr>
                <w:rFonts w:ascii="Calibri" w:hAnsi="Calibri"/>
                <w:b/>
                <w:color w:val="15243A"/>
                <w:sz w:val="17"/>
              </w:rPr>
              <w:t>Current product gap to close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Chat, analyze, research, code, write, organize, review modes</w:t>
            </w:r>
          </w:p>
        </w:tc>
        <w:tc>
          <w:tcPr>
            <w:tcW w:type="dxa" w:w="2700"/>
            <w:tcMar>
              <w:top w:w="80" w:type="dxa"/>
              <w:start w:w="120" w:type="dxa"/>
              <w:bottom w:w="80" w:type="dxa"/>
              <w:end w:w="120" w:type="dxa"/>
            </w:tcMar>
            <w:vAlign w:val="center"/>
          </w:tcPr>
          <w:p>
            <w:pPr>
              <w:spacing w:after="0"/>
            </w:pPr>
            <w:r>
              <w:rPr>
                <w:rFonts w:ascii="Calibri" w:hAnsi="Calibri"/>
                <w:color w:val="15243A"/>
                <w:sz w:val="17"/>
              </w:rPr>
              <w:t>Clear intent routing and specialized agents</w:t>
            </w:r>
          </w:p>
        </w:tc>
        <w:tc>
          <w:tcPr>
            <w:tcW w:type="dxa" w:w="4460"/>
            <w:tcMar>
              <w:top w:w="80" w:type="dxa"/>
              <w:start w:w="120" w:type="dxa"/>
              <w:bottom w:w="80" w:type="dxa"/>
              <w:end w:w="120" w:type="dxa"/>
            </w:tcMar>
            <w:vAlign w:val="center"/>
          </w:tcPr>
          <w:p>
            <w:pPr>
              <w:spacing w:after="0"/>
            </w:pPr>
            <w:r>
              <w:rPr>
                <w:rFonts w:ascii="Calibri" w:hAnsi="Calibri"/>
                <w:color w:val="15243A"/>
                <w:sz w:val="17"/>
              </w:rPr>
              <w:t>Mode availability must reflect verified model capabilities before task start</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Durable tasks, queue, schedules, approvals, inbox</w:t>
            </w:r>
          </w:p>
        </w:tc>
        <w:tc>
          <w:tcPr>
            <w:tcW w:type="dxa" w:w="2700"/>
            <w:shd w:fill="FAFBFC"/>
            <w:tcMar>
              <w:top w:w="80" w:type="dxa"/>
              <w:start w:w="120" w:type="dxa"/>
              <w:bottom w:w="80" w:type="dxa"/>
              <w:end w:w="120" w:type="dxa"/>
            </w:tcMar>
            <w:vAlign w:val="center"/>
          </w:tcPr>
          <w:p>
            <w:pPr>
              <w:spacing w:after="0"/>
            </w:pPr>
            <w:r>
              <w:rPr>
                <w:rFonts w:ascii="Calibri" w:hAnsi="Calibri"/>
                <w:color w:val="15243A"/>
                <w:sz w:val="17"/>
              </w:rPr>
              <w:t>Long-running and recurring work</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Schedules and events need a complete execution, notification, retry, and ownership lifecycle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Artifacts, archive, Markdown export</w:t>
            </w:r>
          </w:p>
        </w:tc>
        <w:tc>
          <w:tcPr>
            <w:tcW w:type="dxa" w:w="2700"/>
            <w:tcMar>
              <w:top w:w="80" w:type="dxa"/>
              <w:start w:w="120" w:type="dxa"/>
              <w:bottom w:w="80" w:type="dxa"/>
              <w:end w:w="120" w:type="dxa"/>
            </w:tcMar>
            <w:vAlign w:val="center"/>
          </w:tcPr>
          <w:p>
            <w:pPr>
              <w:spacing w:after="0"/>
            </w:pPr>
            <w:r>
              <w:rPr>
                <w:rFonts w:ascii="Calibri" w:hAnsi="Calibri"/>
                <w:color w:val="15243A"/>
                <w:sz w:val="17"/>
              </w:rPr>
              <w:t>Durable outputs beyond chat</w:t>
            </w:r>
          </w:p>
        </w:tc>
        <w:tc>
          <w:tcPr>
            <w:tcW w:type="dxa" w:w="4460"/>
            <w:tcMar>
              <w:top w:w="80" w:type="dxa"/>
              <w:start w:w="120" w:type="dxa"/>
              <w:bottom w:w="80" w:type="dxa"/>
              <w:end w:w="120" w:type="dxa"/>
            </w:tcMar>
            <w:vAlign w:val="center"/>
          </w:tcPr>
          <w:p>
            <w:pPr>
              <w:spacing w:after="0"/>
            </w:pPr>
            <w:r>
              <w:rPr>
                <w:rFonts w:ascii="Calibri" w:hAnsi="Calibri"/>
                <w:color w:val="15243A"/>
                <w:sz w:val="17"/>
              </w:rPr>
              <w:t>Professional formats, editing, versioning, provenance, and template reuse are missing</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Workspace RAG and typed knowledge graph</w:t>
            </w:r>
          </w:p>
        </w:tc>
        <w:tc>
          <w:tcPr>
            <w:tcW w:type="dxa" w:w="2700"/>
            <w:shd w:fill="FAFBFC"/>
            <w:tcMar>
              <w:top w:w="80" w:type="dxa"/>
              <w:start w:w="120" w:type="dxa"/>
              <w:bottom w:w="80" w:type="dxa"/>
              <w:end w:w="120" w:type="dxa"/>
            </w:tcMar>
            <w:vAlign w:val="center"/>
          </w:tcPr>
          <w:p>
            <w:pPr>
              <w:spacing w:after="0"/>
            </w:pPr>
            <w:r>
              <w:rPr>
                <w:rFonts w:ascii="Calibri" w:hAnsi="Calibri"/>
                <w:color w:val="15243A"/>
                <w:sz w:val="17"/>
              </w:rPr>
              <w:t>Private retrieval and code-aware evidence</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Incremental sources, OCR, freshness, governance, and cross-source research need productization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MCP servers, skills, connectors, webhooks</w:t>
            </w:r>
          </w:p>
        </w:tc>
        <w:tc>
          <w:tcPr>
            <w:tcW w:type="dxa" w:w="2700"/>
            <w:tcMar>
              <w:top w:w="80" w:type="dxa"/>
              <w:start w:w="120" w:type="dxa"/>
              <w:bottom w:w="80" w:type="dxa"/>
              <w:end w:w="120" w:type="dxa"/>
            </w:tcMar>
            <w:vAlign w:val="center"/>
          </w:tcPr>
          <w:p>
            <w:pPr>
              <w:spacing w:after="0"/>
            </w:pPr>
            <w:r>
              <w:rPr>
                <w:rFonts w:ascii="Calibri" w:hAnsi="Calibri"/>
                <w:color w:val="15243A"/>
                <w:sz w:val="17"/>
              </w:rPr>
              <w:t>Extensible actions and integrations</w:t>
            </w:r>
          </w:p>
        </w:tc>
        <w:tc>
          <w:tcPr>
            <w:tcW w:type="dxa" w:w="4460"/>
            <w:tcMar>
              <w:top w:w="80" w:type="dxa"/>
              <w:start w:w="120" w:type="dxa"/>
              <w:bottom w:w="80" w:type="dxa"/>
              <w:end w:w="120" w:type="dxa"/>
            </w:tcMar>
            <w:vAlign w:val="center"/>
          </w:tcPr>
          <w:p>
            <w:pPr>
              <w:spacing w:after="0"/>
            </w:pPr>
            <w:r>
              <w:rPr>
                <w:rFonts w:ascii="Calibri" w:hAnsi="Calibri"/>
                <w:color w:val="15243A"/>
                <w:sz w:val="17"/>
              </w:rPr>
              <w:t>OAuth handoff, sync, action tools, scopes, and per-connector policy remain incomplete</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WarSat, model catalog, trials, scorecards</w:t>
            </w:r>
          </w:p>
        </w:tc>
        <w:tc>
          <w:tcPr>
            <w:tcW w:type="dxa" w:w="2700"/>
            <w:shd w:fill="FAFBFC"/>
            <w:tcMar>
              <w:top w:w="80" w:type="dxa"/>
              <w:start w:w="120" w:type="dxa"/>
              <w:bottom w:w="80" w:type="dxa"/>
              <w:end w:w="120" w:type="dxa"/>
            </w:tcMar>
            <w:vAlign w:val="center"/>
          </w:tcPr>
          <w:p>
            <w:pPr>
              <w:spacing w:after="0"/>
            </w:pPr>
            <w:r>
              <w:rPr>
                <w:rFonts w:ascii="Calibri" w:hAnsi="Calibri"/>
                <w:color w:val="15243A"/>
                <w:sz w:val="17"/>
              </w:rPr>
              <w:t>Local model deployment and objective comparison</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Readiness certification, continuous evaluation, routing policy, and resource scheduling need to become operational controls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Local accounts, roles, workspace membership, audit</w:t>
            </w:r>
          </w:p>
        </w:tc>
        <w:tc>
          <w:tcPr>
            <w:tcW w:type="dxa" w:w="2700"/>
            <w:tcMar>
              <w:top w:w="80" w:type="dxa"/>
              <w:start w:w="120" w:type="dxa"/>
              <w:bottom w:w="80" w:type="dxa"/>
              <w:end w:w="120" w:type="dxa"/>
            </w:tcMar>
            <w:vAlign w:val="center"/>
          </w:tcPr>
          <w:p>
            <w:pPr>
              <w:spacing w:after="0"/>
            </w:pPr>
            <w:r>
              <w:rPr>
                <w:rFonts w:ascii="Calibri" w:hAnsi="Calibri"/>
                <w:color w:val="15243A"/>
                <w:sz w:val="17"/>
              </w:rPr>
              <w:t>Multi-user appliance deployments</w:t>
            </w:r>
          </w:p>
        </w:tc>
        <w:tc>
          <w:tcPr>
            <w:tcW w:type="dxa" w:w="4460"/>
            <w:tcMar>
              <w:top w:w="80" w:type="dxa"/>
              <w:start w:w="120" w:type="dxa"/>
              <w:bottom w:w="80" w:type="dxa"/>
              <w:end w:w="120" w:type="dxa"/>
            </w:tcMar>
            <w:vAlign w:val="center"/>
          </w:tcPr>
          <w:p>
            <w:pPr>
              <w:spacing w:after="0"/>
            </w:pPr>
            <w:r>
              <w:rPr>
                <w:rFonts w:ascii="Calibri" w:hAnsi="Calibri"/>
                <w:color w:val="15243A"/>
                <w:sz w:val="17"/>
              </w:rPr>
              <w:t>Collaboration, SSO, policy packs, backups, and admin reporting are needed for team adoption</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Desktop, native, Docker deployment paths</w:t>
            </w:r>
          </w:p>
        </w:tc>
        <w:tc>
          <w:tcPr>
            <w:tcW w:type="dxa" w:w="2700"/>
            <w:shd w:fill="FAFBFC"/>
            <w:tcMar>
              <w:top w:w="80" w:type="dxa"/>
              <w:start w:w="120" w:type="dxa"/>
              <w:bottom w:w="80" w:type="dxa"/>
              <w:end w:w="120" w:type="dxa"/>
            </w:tcMar>
            <w:vAlign w:val="center"/>
          </w:tcPr>
          <w:p>
            <w:pPr>
              <w:spacing w:after="0"/>
            </w:pPr>
            <w:r>
              <w:rPr>
                <w:rFonts w:ascii="Calibri" w:hAnsi="Calibri"/>
                <w:color w:val="15243A"/>
                <w:sz w:val="17"/>
              </w:rPr>
              <w:t>Flexible local and server installation</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Updates, migration, support bundles, and fleet management need a unified experience</w:t>
            </w:r>
          </w:p>
        </w:tc>
      </w:tr>
    </w:tbl>
    <w:p>
      <w:pPr>
        <w:spacing w:after="0"/>
      </w:pPr>
    </w:p>
    <w:p>
      <w:pPr>
        <w:pStyle w:val="Heading2"/>
        <w:keepNext/>
      </w:pPr>
      <w:r>
        <w:t>Use-case expansion map</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243A"/>
                <w:sz w:val="17"/>
              </w:rPr>
              <w:t>Audience</w:t>
            </w:r>
          </w:p>
        </w:tc>
        <w:tc>
          <w:tcPr>
            <w:tcW w:type="dxa" w:w="3300"/>
            <w:shd w:fill="E8EEF5"/>
            <w:tcMar>
              <w:top w:w="80" w:type="dxa"/>
              <w:start w:w="120" w:type="dxa"/>
              <w:bottom w:w="80" w:type="dxa"/>
              <w:end w:w="120" w:type="dxa"/>
            </w:tcMar>
            <w:vAlign w:val="center"/>
          </w:tcPr>
          <w:p>
            <w:pPr>
              <w:spacing w:after="0"/>
              <w:jc w:val="left"/>
            </w:pPr>
            <w:r>
              <w:rPr>
                <w:rFonts w:ascii="Calibri" w:hAnsi="Calibri"/>
                <w:b/>
                <w:color w:val="15243A"/>
                <w:sz w:val="17"/>
              </w:rPr>
              <w:t>High-value jobs</w:t>
            </w:r>
          </w:p>
        </w:tc>
        <w:tc>
          <w:tcPr>
            <w:tcW w:type="dxa" w:w="4160"/>
            <w:shd w:fill="E8EEF5"/>
            <w:tcMar>
              <w:top w:w="80" w:type="dxa"/>
              <w:start w:w="120" w:type="dxa"/>
              <w:bottom w:w="80" w:type="dxa"/>
              <w:end w:w="120" w:type="dxa"/>
            </w:tcMar>
            <w:vAlign w:val="center"/>
          </w:tcPr>
          <w:p>
            <w:pPr>
              <w:spacing w:after="0"/>
              <w:jc w:val="left"/>
            </w:pPr>
            <w:r>
              <w:rPr>
                <w:rFonts w:ascii="Calibri" w:hAnsi="Calibri"/>
                <w:b/>
                <w:color w:val="15243A"/>
                <w:sz w:val="17"/>
              </w:rPr>
              <w:t>Feature clusters that unlock them</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Developer / small engineering team</w:t>
            </w:r>
          </w:p>
        </w:tc>
        <w:tc>
          <w:tcPr>
            <w:tcW w:type="dxa" w:w="3300"/>
            <w:tcMar>
              <w:top w:w="80" w:type="dxa"/>
              <w:start w:w="120" w:type="dxa"/>
              <w:bottom w:w="80" w:type="dxa"/>
              <w:end w:w="120" w:type="dxa"/>
            </w:tcMar>
            <w:vAlign w:val="center"/>
          </w:tcPr>
          <w:p>
            <w:pPr>
              <w:spacing w:after="0"/>
            </w:pPr>
            <w:r>
              <w:rPr>
                <w:rFonts w:ascii="Calibri" w:hAnsi="Calibri"/>
                <w:color w:val="15243A"/>
                <w:sz w:val="17"/>
              </w:rPr>
              <w:t>Understand a repo, fix issues, run tests, review patches, compare models</w:t>
            </w:r>
          </w:p>
        </w:tc>
        <w:tc>
          <w:tcPr>
            <w:tcW w:type="dxa" w:w="4160"/>
            <w:tcMar>
              <w:top w:w="80" w:type="dxa"/>
              <w:start w:w="120" w:type="dxa"/>
              <w:bottom w:w="80" w:type="dxa"/>
              <w:end w:w="120" w:type="dxa"/>
            </w:tcMar>
            <w:vAlign w:val="center"/>
          </w:tcPr>
          <w:p>
            <w:pPr>
              <w:spacing w:after="0"/>
            </w:pPr>
            <w:r>
              <w:rPr>
                <w:rFonts w:ascii="Calibri" w:hAnsi="Calibri"/>
                <w:color w:val="15243A"/>
                <w:sz w:val="17"/>
              </w:rPr>
              <w:t>Coding workspace, issue-to-patch, Git hosting, CI, worktrees, evaluation gates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Researcher / analyst</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Ingest mixed evidence, investigate, cite, compare, write reports</w:t>
            </w:r>
          </w:p>
        </w:tc>
        <w:tc>
          <w:tcPr>
            <w:tcW w:type="dxa" w:w="4160"/>
            <w:shd w:fill="FAFBFC"/>
            <w:tcMar>
              <w:top w:w="80" w:type="dxa"/>
              <w:start w:w="120" w:type="dxa"/>
              <w:bottom w:w="80" w:type="dxa"/>
              <w:end w:w="120" w:type="dxa"/>
            </w:tcMar>
            <w:vAlign w:val="center"/>
          </w:tcPr>
          <w:p>
            <w:pPr>
              <w:spacing w:after="0"/>
            </w:pPr>
            <w:r>
              <w:rPr>
                <w:rFonts w:ascii="Calibri" w:hAnsi="Calibri"/>
                <w:color w:val="15243A"/>
                <w:sz w:val="17"/>
              </w:rPr>
              <w:t>Universal input, OCR, watched sources, evidence workspace, Artifact Studio</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Operations / executive assistant</w:t>
            </w:r>
          </w:p>
        </w:tc>
        <w:tc>
          <w:tcPr>
            <w:tcW w:type="dxa" w:w="3300"/>
            <w:tcMar>
              <w:top w:w="80" w:type="dxa"/>
              <w:start w:w="120" w:type="dxa"/>
              <w:bottom w:w="80" w:type="dxa"/>
              <w:end w:w="120" w:type="dxa"/>
            </w:tcMar>
            <w:vAlign w:val="center"/>
          </w:tcPr>
          <w:p>
            <w:pPr>
              <w:spacing w:after="0"/>
            </w:pPr>
            <w:r>
              <w:rPr>
                <w:rFonts w:ascii="Calibri" w:hAnsi="Calibri"/>
                <w:color w:val="15243A"/>
                <w:sz w:val="17"/>
              </w:rPr>
              <w:t>Triage communication, prepare meetings, track follow-ups, automate recurring work</w:t>
            </w:r>
          </w:p>
        </w:tc>
        <w:tc>
          <w:tcPr>
            <w:tcW w:type="dxa" w:w="4160"/>
            <w:tcMar>
              <w:top w:w="80" w:type="dxa"/>
              <w:start w:w="120" w:type="dxa"/>
              <w:bottom w:w="80" w:type="dxa"/>
              <w:end w:w="120" w:type="dxa"/>
            </w:tcMar>
            <w:vAlign w:val="center"/>
          </w:tcPr>
          <w:p>
            <w:pPr>
              <w:spacing w:after="0"/>
            </w:pPr>
            <w:r>
              <w:rPr>
                <w:rFonts w:ascii="Calibri" w:hAnsi="Calibri"/>
                <w:color w:val="15243A"/>
                <w:sz w:val="17"/>
              </w:rPr>
              <w:t>Email/calendar, workflows, schedules, forms, notifications, mobile approvals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IT / DevOps administrator</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Operate private models, monitor resources, enforce policy, recover service</w:t>
            </w:r>
          </w:p>
        </w:tc>
        <w:tc>
          <w:tcPr>
            <w:tcW w:type="dxa" w:w="4160"/>
            <w:shd w:fill="FAFBFC"/>
            <w:tcMar>
              <w:top w:w="80" w:type="dxa"/>
              <w:start w:w="120" w:type="dxa"/>
              <w:bottom w:w="80" w:type="dxa"/>
              <w:end w:w="120" w:type="dxa"/>
            </w:tcMar>
            <w:vAlign w:val="center"/>
          </w:tcPr>
          <w:p>
            <w:pPr>
              <w:spacing w:after="0"/>
            </w:pPr>
            <w:r>
              <w:rPr>
                <w:rFonts w:ascii="Calibri" w:hAnsi="Calibri"/>
                <w:color w:val="15243A"/>
                <w:sz w:val="17"/>
              </w:rPr>
              <w:t>Smart routing, resource scheduler, backup/restore, SSO, SIEM, support bundles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Regulated or data-sensitive team</w:t>
            </w:r>
          </w:p>
        </w:tc>
        <w:tc>
          <w:tcPr>
            <w:tcW w:type="dxa" w:w="3300"/>
            <w:tcMar>
              <w:top w:w="80" w:type="dxa"/>
              <w:start w:w="120" w:type="dxa"/>
              <w:bottom w:w="80" w:type="dxa"/>
              <w:end w:w="120" w:type="dxa"/>
            </w:tcMar>
            <w:vAlign w:val="center"/>
          </w:tcPr>
          <w:p>
            <w:pPr>
              <w:spacing w:after="0"/>
            </w:pPr>
            <w:r>
              <w:rPr>
                <w:rFonts w:ascii="Calibri" w:hAnsi="Calibri"/>
                <w:color w:val="15243A"/>
                <w:sz w:val="17"/>
              </w:rPr>
              <w:t>Analyze private material without data leaving controlled hardware</w:t>
            </w:r>
          </w:p>
        </w:tc>
        <w:tc>
          <w:tcPr>
            <w:tcW w:type="dxa" w:w="4160"/>
            <w:tcMar>
              <w:top w:w="80" w:type="dxa"/>
              <w:start w:w="120" w:type="dxa"/>
              <w:bottom w:w="80" w:type="dxa"/>
              <w:end w:w="120" w:type="dxa"/>
            </w:tcMar>
            <w:vAlign w:val="center"/>
          </w:tcPr>
          <w:p>
            <w:pPr>
              <w:spacing w:after="0"/>
            </w:pPr>
            <w:r>
              <w:rPr>
                <w:rFonts w:ascii="Calibri" w:hAnsi="Calibri"/>
                <w:color w:val="15243A"/>
                <w:sz w:val="17"/>
              </w:rPr>
              <w:t>Policy packs, local OCR/voice, retention, secrets, immutable audit, deployment controls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Knowledge-heavy small business</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Search internal files, draft deliverables, standardize repeatable processes</w:t>
            </w:r>
          </w:p>
        </w:tc>
        <w:tc>
          <w:tcPr>
            <w:tcW w:type="dxa" w:w="4160"/>
            <w:shd w:fill="FAFBFC"/>
            <w:tcMar>
              <w:top w:w="80" w:type="dxa"/>
              <w:start w:w="120" w:type="dxa"/>
              <w:bottom w:w="80" w:type="dxa"/>
              <w:end w:w="120" w:type="dxa"/>
            </w:tcMar>
            <w:vAlign w:val="center"/>
          </w:tcPr>
          <w:p>
            <w:pPr>
              <w:spacing w:after="0"/>
            </w:pPr>
            <w:r>
              <w:rPr>
                <w:rFonts w:ascii="Calibri" w:hAnsi="Calibri"/>
                <w:color w:val="15243A"/>
                <w:sz w:val="17"/>
              </w:rPr>
              <w:t>Watched folders, team hubs, templates, solution packs, artifact library</w:t>
            </w:r>
          </w:p>
        </w:tc>
      </w:tr>
    </w:tbl>
    <w:p>
      <w:pPr>
        <w:spacing w:after="0"/>
      </w:pPr>
    </w:p>
    <w:p>
      <w:pPr>
        <w:pStyle w:val="Heading1"/>
        <w:keepNext/>
      </w:pPr>
      <w:r>
        <w:t>2. Prioritization method</w:t>
      </w:r>
    </w:p>
    <w:p>
      <w:r>
        <w:rPr>
          <w:rFonts w:ascii="Calibri" w:hAnsi="Calibri"/>
          <w:i w:val="0"/>
          <w:sz w:val="22"/>
        </w:rPr>
        <w:t>Each feature was assessed against six criteria: breadth of new use cases, depth of end-to-end value, leverage of code already present, trust/safety contribution, implementation dependency, and operational burden. Priority labels mean:</w:t>
      </w:r>
    </w:p>
    <w:p>
      <w:pPr>
        <w:pStyle w:val="ListBullet"/>
      </w:pPr>
      <w:r>
        <w:rPr>
          <w:rFonts w:ascii="Calibri" w:hAnsi="Calibri"/>
          <w:sz w:val="22"/>
        </w:rPr>
        <w:t>NOW: should enter the next two release cycles because it unlocks multiple audiences or removes a trust blocker.</w:t>
      </w:r>
    </w:p>
    <w:p>
      <w:pPr>
        <w:pStyle w:val="ListBullet"/>
      </w:pPr>
      <w:r>
        <w:rPr>
          <w:rFonts w:ascii="Calibri" w:hAnsi="Calibri"/>
          <w:sz w:val="22"/>
        </w:rPr>
        <w:t>NEXT: should follow once the core loops are stable; it broadens adoption or team use materially.</w:t>
      </w:r>
    </w:p>
    <w:p>
      <w:pPr>
        <w:pStyle w:val="ListBullet"/>
      </w:pPr>
      <w:r>
        <w:rPr>
          <w:rFonts w:ascii="Calibri" w:hAnsi="Calibri"/>
          <w:sz w:val="22"/>
        </w:rPr>
        <w:t>LATER: strategically useful, but dependent on stronger foundations, a larger user base, or enterprise demand.</w:t>
      </w:r>
    </w:p>
    <w:p>
      <w:pPr>
        <w:spacing w:before="80" w:after="200"/>
        <w:ind w:left="115" w:right="115"/>
        <w:shd w:fill="F4F6F9"/>
        <w:pBdr>
          <w:left w:val="single" w:sz="18" w:space="8" w:color="2E74B5"/>
        </w:pBdr>
      </w:pPr>
      <w:r>
        <w:rPr>
          <w:rFonts w:ascii="Calibri" w:hAnsi="Calibri"/>
          <w:b/>
          <w:color w:val="2E74B5"/>
          <w:sz w:val="18"/>
        </w:rPr>
        <w:t xml:space="preserve">PRODUCT RULE  </w:t>
      </w:r>
      <w:r>
        <w:rPr>
          <w:rFonts w:ascii="Calibri" w:hAnsi="Calibri"/>
          <w:color w:val="15243A"/>
          <w:sz w:val="21"/>
        </w:rPr>
        <w:t>Do not count a configuration screen, endpoint, or data model as a feature until a user can complete the job, see progress, review the result, recover from failure, and understand what data or permissions were used.</w:t>
      </w:r>
    </w:p>
    <w:p>
      <w:pPr>
        <w:pStyle w:val="Heading1"/>
        <w:keepNext/>
      </w:pPr>
      <w:r>
        <w:t>3. Priority feature briefs</w:t>
      </w:r>
    </w:p>
    <w:p>
      <w:r>
        <w:rPr>
          <w:rFonts w:ascii="Calibri" w:hAnsi="Calibri"/>
          <w:i w:val="0"/>
          <w:sz w:val="22"/>
        </w:rPr>
        <w:t>These are the thirteen highest-leverage additions. Each brief defines the user outcome, an MVP boundary, expansion path, dependencies, and evidence that the feature is delivering real value.</w:t>
      </w:r>
    </w:p>
    <w:p>
      <w:pPr>
        <w:pStyle w:val="Heading2"/>
        <w:keepNext/>
      </w:pPr>
      <w:r>
        <w:rPr>
          <w:rFonts w:ascii="Calibri" w:hAnsi="Calibri"/>
          <w:b/>
          <w:color w:val="2E74B5"/>
          <w:sz w:val="26"/>
        </w:rPr>
        <w:t>F00  Mode recipe launcher and guided prompt library</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Clicking a mode or starter card opens several specific jobs that mode can perform, rather than inserting one generic prompt and leaving the user to discover the mode's real capabilities.</w:t>
      </w:r>
    </w:p>
    <w:p>
      <w:r>
        <w:rPr>
          <w:rFonts w:ascii="Calibri" w:hAnsi="Calibri"/>
          <w:b/>
          <w:sz w:val="22"/>
        </w:rPr>
        <w:t xml:space="preserve">Use cases unlocked: </w:t>
      </w:r>
      <w:r>
        <w:rPr>
          <w:rFonts w:ascii="Calibri" w:hAnsi="Calibri"/>
          <w:i w:val="0"/>
          <w:sz w:val="22"/>
        </w:rPr>
        <w:t>Faster onboarding, better prompt quality, more consistent use of analyze/research/code/write/organize/review modes, and discoverability of workflows that users would not think to request themselves.</w:t>
      </w:r>
    </w:p>
    <w:p>
      <w:r>
        <w:rPr>
          <w:rFonts w:ascii="Calibri" w:hAnsi="Calibri"/>
          <w:b/>
          <w:sz w:val="22"/>
        </w:rPr>
        <w:t xml:space="preserve">MVP: </w:t>
      </w:r>
      <w:r>
        <w:rPr>
          <w:rFonts w:ascii="Calibri" w:hAnsi="Calibri"/>
          <w:i w:val="0"/>
          <w:sz w:val="22"/>
        </w:rPr>
        <w:t>Replace the current flat quick-prompt list with a mode-keyed recipe registry. Each mode offers 5-8 recipes with a title, one-line outcome, prompt template, optional input fields, required model/tool capabilities, suggested reasoning level, and expected output. Selecting a recipe opens a compact setup panel, previews the generated objective, and fills the existing composer without auto-submitting.</w:t>
      </w:r>
    </w:p>
    <w:p>
      <w:r>
        <w:rPr>
          <w:rFonts w:ascii="Calibri" w:hAnsi="Calibri"/>
          <w:b/>
          <w:sz w:val="22"/>
        </w:rPr>
        <w:t xml:space="preserve">Expansion: </w:t>
      </w:r>
      <w:r>
        <w:rPr>
          <w:rFonts w:ascii="Calibri" w:hAnsi="Calibri"/>
          <w:i w:val="0"/>
          <w:sz w:val="22"/>
        </w:rPr>
        <w:t>User-saved recipes, workspace/team recipe libraries, recent/favorite recipes, admin-approved templates, usage-based recommendations, and recipes that launch multi-step workflows or structured intake forms.</w:t>
      </w:r>
    </w:p>
    <w:p>
      <w:r>
        <w:rPr>
          <w:rFonts w:ascii="Calibri" w:hAnsi="Calibri"/>
          <w:b/>
          <w:sz w:val="22"/>
        </w:rPr>
        <w:t xml:space="preserve">Dependencies and guardrails: </w:t>
      </w:r>
      <w:r>
        <w:rPr>
          <w:rFonts w:ascii="Calibri" w:hAnsi="Calibri"/>
          <w:i w:val="0"/>
          <w:sz w:val="22"/>
        </w:rPr>
        <w:t>Preserve the current chat layout and composer; support mouse and keyboard equally; filter or disable recipes when the routed model lacks required capabilities; show permission and data-boundary implications before launch; never hide the editable final prompt.</w:t>
      </w:r>
    </w:p>
    <w:p>
      <w:r>
        <w:rPr>
          <w:rFonts w:ascii="Calibri" w:hAnsi="Calibri"/>
          <w:b/>
          <w:sz w:val="22"/>
        </w:rPr>
        <w:t xml:space="preserve">Proof metric: </w:t>
      </w:r>
      <w:r>
        <w:rPr>
          <w:rFonts w:ascii="Calibri" w:hAnsi="Calibri"/>
          <w:i w:val="0"/>
          <w:sz w:val="22"/>
        </w:rPr>
        <w:t>Starter-recipe users reach task completion more often than blank-composer users, and every mode has at least three recipes used successfully in real daily-driver sessions.</w:t>
      </w:r>
    </w:p>
    <w:tbl>
      <w:tblPr>
        <w:tblStyle w:val="TableGrid"/>
        <w:tblW w:type="dxa" w:w="9360"/>
        <w:jc w:val="left"/>
        <w:tblLayout w:type="fixed"/>
        <w:tblLook w:firstColumn="1" w:firstRow="1" w:lastColumn="0" w:lastRow="0" w:noHBand="0" w:noVBand="1" w:val="04A0"/>
        <w:tblInd w:w="120" w:type="dxa"/>
      </w:tblPr>
      <w:tblGrid>
        <w:gridCol w:w="1450"/>
        <w:gridCol w:w="791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rFonts w:ascii="Calibri" w:hAnsi="Calibri"/>
                <w:b/>
                <w:color w:val="15243A"/>
                <w:sz w:val="17"/>
              </w:rPr>
              <w:t>Mode</w:t>
            </w:r>
          </w:p>
        </w:tc>
        <w:tc>
          <w:tcPr>
            <w:tcW w:type="dxa" w:w="7910"/>
            <w:shd w:fill="E8EEF5"/>
            <w:tcMar>
              <w:top w:w="80" w:type="dxa"/>
              <w:start w:w="120" w:type="dxa"/>
              <w:bottom w:w="80" w:type="dxa"/>
              <w:end w:w="120" w:type="dxa"/>
            </w:tcMar>
            <w:vAlign w:val="center"/>
          </w:tcPr>
          <w:p>
            <w:pPr>
              <w:spacing w:after="0"/>
              <w:jc w:val="left"/>
            </w:pPr>
            <w:r>
              <w:rPr>
                <w:rFonts w:ascii="Calibri" w:hAnsi="Calibri"/>
                <w:b/>
                <w:color w:val="15243A"/>
                <w:sz w:val="17"/>
              </w:rPr>
              <w:t>Example recipes shown after selection</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5243A"/>
                <w:sz w:val="17"/>
              </w:rPr>
              <w:t>Analyze</w:t>
            </w:r>
          </w:p>
        </w:tc>
        <w:tc>
          <w:tcPr>
            <w:tcW w:type="dxa" w:w="7910"/>
            <w:tcMar>
              <w:top w:w="80" w:type="dxa"/>
              <w:start w:w="120" w:type="dxa"/>
              <w:bottom w:w="80" w:type="dxa"/>
              <w:end w:w="120" w:type="dxa"/>
            </w:tcMar>
            <w:vAlign w:val="center"/>
          </w:tcPr>
          <w:p>
            <w:pPr>
              <w:spacing w:after="0"/>
            </w:pPr>
            <w:r>
              <w:rPr>
                <w:rFonts w:ascii="Calibri" w:hAnsi="Calibri"/>
                <w:color w:val="15243A"/>
                <w:sz w:val="17"/>
              </w:rPr>
              <w:t>Summarize a workspace; compare documents; extract decisions; inspect a dataset; find contradictions; map a codebase</w:t>
            </w:r>
          </w:p>
        </w:tc>
      </w:tr>
      <w:tr>
        <w:trPr>
          <w:cantSplit/>
        </w:trPr>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Research</w:t>
            </w:r>
          </w:p>
        </w:tc>
        <w:tc>
          <w:tcPr>
            <w:tcW w:type="dxa" w:w="7910"/>
            <w:shd w:fill="FAFBFC"/>
            <w:tcMar>
              <w:top w:w="80" w:type="dxa"/>
              <w:start w:w="120" w:type="dxa"/>
              <w:bottom w:w="80" w:type="dxa"/>
              <w:end w:w="120" w:type="dxa"/>
            </w:tcMar>
            <w:vAlign w:val="center"/>
          </w:tcPr>
          <w:p>
            <w:pPr>
              <w:spacing w:after="0"/>
            </w:pPr>
            <w:r>
              <w:rPr>
                <w:rFonts w:ascii="Calibri" w:hAnsi="Calibri"/>
                <w:color w:val="15243A"/>
                <w:sz w:val="17"/>
              </w:rPr>
              <w:t>Deep-dive a topic; latest-source scan; vendor comparison; evidence matrix; literature review; monitor a question</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5243A"/>
                <w:sz w:val="17"/>
              </w:rPr>
              <w:t>Code</w:t>
            </w:r>
          </w:p>
        </w:tc>
        <w:tc>
          <w:tcPr>
            <w:tcW w:type="dxa" w:w="7910"/>
            <w:tcMar>
              <w:top w:w="80" w:type="dxa"/>
              <w:start w:w="120" w:type="dxa"/>
              <w:bottom w:w="80" w:type="dxa"/>
              <w:end w:w="120" w:type="dxa"/>
            </w:tcMar>
            <w:vAlign w:val="center"/>
          </w:tcPr>
          <w:p>
            <w:pPr>
              <w:spacing w:after="0"/>
            </w:pPr>
            <w:r>
              <w:rPr>
                <w:rFonts w:ascii="Calibri" w:hAnsi="Calibri"/>
                <w:color w:val="15243A"/>
                <w:sz w:val="17"/>
              </w:rPr>
              <w:t>Fix a bug; add a feature; explain a repository; write tests; review a diff; upgrade a dependency; diagnose CI</w:t>
            </w:r>
          </w:p>
        </w:tc>
      </w:tr>
      <w:tr>
        <w:trPr>
          <w:cantSplit/>
        </w:trPr>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Write</w:t>
            </w:r>
          </w:p>
        </w:tc>
        <w:tc>
          <w:tcPr>
            <w:tcW w:type="dxa" w:w="7910"/>
            <w:shd w:fill="FAFBFC"/>
            <w:tcMar>
              <w:top w:w="80" w:type="dxa"/>
              <w:start w:w="120" w:type="dxa"/>
              <w:bottom w:w="80" w:type="dxa"/>
              <w:end w:w="120" w:type="dxa"/>
            </w:tcMar>
            <w:vAlign w:val="center"/>
          </w:tcPr>
          <w:p>
            <w:pPr>
              <w:spacing w:after="0"/>
            </w:pPr>
            <w:r>
              <w:rPr>
                <w:rFonts w:ascii="Calibri" w:hAnsi="Calibri"/>
                <w:color w:val="15243A"/>
                <w:sz w:val="17"/>
              </w:rPr>
              <w:t>Draft a report; create an SOP; prepare a proposal; turn notes into a brief; rewrite for an audience; make an outline</w:t>
            </w:r>
          </w:p>
        </w:tc>
      </w:tr>
      <w:tr>
        <w:trPr>
          <w:cantSplit/>
        </w:trPr>
        <w:tc>
          <w:tcPr>
            <w:tcW w:type="dxa" w:w="1450"/>
            <w:tcMar>
              <w:top w:w="80" w:type="dxa"/>
              <w:start w:w="120" w:type="dxa"/>
              <w:bottom w:w="80" w:type="dxa"/>
              <w:end w:w="120" w:type="dxa"/>
            </w:tcMar>
            <w:vAlign w:val="center"/>
          </w:tcPr>
          <w:p>
            <w:pPr>
              <w:spacing w:after="0"/>
            </w:pPr>
            <w:r>
              <w:rPr>
                <w:rFonts w:ascii="Calibri" w:hAnsi="Calibri"/>
                <w:color w:val="15243A"/>
                <w:sz w:val="17"/>
              </w:rPr>
              <w:t>Organize</w:t>
            </w:r>
          </w:p>
        </w:tc>
        <w:tc>
          <w:tcPr>
            <w:tcW w:type="dxa" w:w="7910"/>
            <w:tcMar>
              <w:top w:w="80" w:type="dxa"/>
              <w:start w:w="120" w:type="dxa"/>
              <w:bottom w:w="80" w:type="dxa"/>
              <w:end w:w="120" w:type="dxa"/>
            </w:tcMar>
            <w:vAlign w:val="center"/>
          </w:tcPr>
          <w:p>
            <w:pPr>
              <w:spacing w:after="0"/>
            </w:pPr>
            <w:r>
              <w:rPr>
                <w:rFonts w:ascii="Calibri" w:hAnsi="Calibri"/>
                <w:color w:val="15243A"/>
                <w:sz w:val="17"/>
              </w:rPr>
              <w:t>Plan folder cleanup; deduplicate files; rename consistently; archive a project; build a migration plan; classify documents</w:t>
            </w:r>
          </w:p>
        </w:tc>
      </w:tr>
      <w:tr>
        <w:trPr>
          <w:cantSplit/>
        </w:trPr>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Review</w:t>
            </w:r>
          </w:p>
        </w:tc>
        <w:tc>
          <w:tcPr>
            <w:tcW w:type="dxa" w:w="7910"/>
            <w:shd w:fill="FAFBFC"/>
            <w:tcMar>
              <w:top w:w="80" w:type="dxa"/>
              <w:start w:w="120" w:type="dxa"/>
              <w:bottom w:w="80" w:type="dxa"/>
              <w:end w:w="120" w:type="dxa"/>
            </w:tcMar>
            <w:vAlign w:val="center"/>
          </w:tcPr>
          <w:p>
            <w:pPr>
              <w:spacing w:after="0"/>
            </w:pPr>
            <w:r>
              <w:rPr>
                <w:rFonts w:ascii="Calibri" w:hAnsi="Calibri"/>
                <w:color w:val="15243A"/>
                <w:sz w:val="17"/>
              </w:rPr>
              <w:t>Review an artifact; audit a patch; check claims and citations; identify risk; compare versions; prepare revision instructions</w:t>
            </w:r>
          </w:p>
        </w:tc>
      </w:tr>
    </w:tbl>
    <w:p>
      <w:pPr>
        <w:spacing w:after="0"/>
      </w:pPr>
    </w:p>
    <w:p>
      <w:pPr>
        <w:pStyle w:val="Heading2"/>
        <w:keepNext/>
      </w:pPr>
      <w:r>
        <w:rPr>
          <w:rFonts w:ascii="Calibri" w:hAnsi="Calibri"/>
          <w:b/>
          <w:color w:val="2E74B5"/>
          <w:sz w:val="26"/>
        </w:rPr>
        <w:t>F01  Universal input and attachment pipeline</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A user can drag in a document, spreadsheet, PDF, image, audio file, folder, URL, or text snippet and immediately ask Rasputin to analyze, transform, index, or act on it.</w:t>
      </w:r>
    </w:p>
    <w:p>
      <w:r>
        <w:rPr>
          <w:rFonts w:ascii="Calibri" w:hAnsi="Calibri"/>
          <w:b/>
          <w:sz w:val="22"/>
        </w:rPr>
        <w:t xml:space="preserve">Use cases unlocked: </w:t>
      </w:r>
      <w:r>
        <w:rPr>
          <w:rFonts w:ascii="Calibri" w:hAnsi="Calibri"/>
          <w:i w:val="0"/>
          <w:sz w:val="22"/>
        </w:rPr>
        <w:t>Document review, spreadsheet analysis, screenshot troubleshooting, meeting transcription, contract comparison, content repurposing, research intake, and project onboarding.</w:t>
      </w:r>
    </w:p>
    <w:p>
      <w:r>
        <w:rPr>
          <w:rFonts w:ascii="Calibri" w:hAnsi="Calibri"/>
          <w:b/>
          <w:sz w:val="22"/>
        </w:rPr>
        <w:t xml:space="preserve">MVP: </w:t>
      </w:r>
      <w:r>
        <w:rPr>
          <w:rFonts w:ascii="Calibri" w:hAnsi="Calibri"/>
          <w:i w:val="0"/>
          <w:sz w:val="22"/>
        </w:rPr>
        <w:t>Upgrade the existing drag/drop composer attachments and local extraction path into a durable intake API; add MIME detection, size checks, antivirus hook support, richer extraction for common formats, PDF page handling, image metadata, and task-scoped temporary storage. Let the user choose 'use once,' 'save as artifact,' or 'add to workspace knowledge.'</w:t>
      </w:r>
    </w:p>
    <w:p>
      <w:r>
        <w:rPr>
          <w:rFonts w:ascii="Calibri" w:hAnsi="Calibri"/>
          <w:b/>
          <w:sz w:val="22"/>
        </w:rPr>
        <w:t xml:space="preserve">Expansion: </w:t>
      </w:r>
      <w:r>
        <w:rPr>
          <w:rFonts w:ascii="Calibri" w:hAnsi="Calibri"/>
          <w:i w:val="0"/>
          <w:sz w:val="22"/>
        </w:rPr>
        <w:t>Local OCR, speech-to-text, URL capture, email-drop inboxes, bulk folders, and source-specific extraction profiles.</w:t>
      </w:r>
    </w:p>
    <w:p>
      <w:r>
        <w:rPr>
          <w:rFonts w:ascii="Calibri" w:hAnsi="Calibri"/>
          <w:b/>
          <w:sz w:val="22"/>
        </w:rPr>
        <w:t xml:space="preserve">Dependencies and guardrails: </w:t>
      </w:r>
      <w:r>
        <w:rPr>
          <w:rFonts w:ascii="Calibri" w:hAnsi="Calibri"/>
          <w:i w:val="0"/>
          <w:sz w:val="22"/>
        </w:rPr>
        <w:t>Per-user quotas, explicit retention, provenance on every extracted chunk, no silent cloud upload, and capability checks before routing images/audio to a model.</w:t>
      </w:r>
    </w:p>
    <w:p>
      <w:r>
        <w:rPr>
          <w:rFonts w:ascii="Calibri" w:hAnsi="Calibri"/>
          <w:b/>
          <w:sz w:val="22"/>
        </w:rPr>
        <w:t xml:space="preserve">Proof metric: </w:t>
      </w:r>
      <w:r>
        <w:rPr>
          <w:rFonts w:ascii="Calibri" w:hAnsi="Calibri"/>
          <w:i w:val="0"/>
          <w:sz w:val="22"/>
        </w:rPr>
        <w:t>At least 60 percent of daily-driver tasks can begin from an attachment without manually copying content into chat.</w:t>
      </w:r>
    </w:p>
    <w:p>
      <w:pPr>
        <w:pStyle w:val="Heading2"/>
        <w:keepNext/>
      </w:pPr>
      <w:r>
        <w:rPr>
          <w:rFonts w:ascii="Calibri" w:hAnsi="Calibri"/>
          <w:b/>
          <w:color w:val="2E74B5"/>
          <w:sz w:val="26"/>
        </w:rPr>
        <w:t>F02  Artifact Studio and professional output formats</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Rasputin produces editable, downloadable work products rather than leaving value trapped in chat history.</w:t>
      </w:r>
    </w:p>
    <w:p>
      <w:r>
        <w:rPr>
          <w:rFonts w:ascii="Calibri" w:hAnsi="Calibri"/>
          <w:b/>
          <w:sz w:val="22"/>
        </w:rPr>
        <w:t xml:space="preserve">Use cases unlocked: </w:t>
      </w:r>
      <w:r>
        <w:rPr>
          <w:rFonts w:ascii="Calibri" w:hAnsi="Calibri"/>
          <w:i w:val="0"/>
          <w:sz w:val="22"/>
        </w:rPr>
        <w:t>Reports, proposals, presentations, spreadsheets, SOPs, executive briefs, data exports, code patches, meeting packets, and client-ready deliverables.</w:t>
      </w:r>
    </w:p>
    <w:p>
      <w:r>
        <w:rPr>
          <w:rFonts w:ascii="Calibri" w:hAnsi="Calibri"/>
          <w:b/>
          <w:sz w:val="22"/>
        </w:rPr>
        <w:t xml:space="preserve">MVP: </w:t>
      </w:r>
      <w:r>
        <w:rPr>
          <w:rFonts w:ascii="Calibri" w:hAnsi="Calibri"/>
          <w:i w:val="0"/>
          <w:sz w:val="22"/>
        </w:rPr>
        <w:t>Expand the artifact model to support Markdown, DOCX, PDF, CSV/XLSX, HTML, and patch bundles. Add preview, rename, pin, version, duplicate, download, and 'continue editing with AI.' Store the source task, model, citations, and generation settings with each version.</w:t>
      </w:r>
    </w:p>
    <w:p>
      <w:r>
        <w:rPr>
          <w:rFonts w:ascii="Calibri" w:hAnsi="Calibri"/>
          <w:b/>
          <w:sz w:val="22"/>
        </w:rPr>
        <w:t xml:space="preserve">Expansion: </w:t>
      </w:r>
      <w:r>
        <w:rPr>
          <w:rFonts w:ascii="Calibri" w:hAnsi="Calibri"/>
          <w:i w:val="0"/>
          <w:sz w:val="22"/>
        </w:rPr>
        <w:t>PPTX, templates, redlining, comments, approvals, comparison between versions, branded style packs, and export to connected drives.</w:t>
      </w:r>
    </w:p>
    <w:p>
      <w:r>
        <w:rPr>
          <w:rFonts w:ascii="Calibri" w:hAnsi="Calibri"/>
          <w:b/>
          <w:sz w:val="22"/>
        </w:rPr>
        <w:t xml:space="preserve">Dependencies and guardrails: </w:t>
      </w:r>
      <w:r>
        <w:rPr>
          <w:rFonts w:ascii="Calibri" w:hAnsi="Calibri"/>
          <w:i w:val="0"/>
          <w:sz w:val="22"/>
        </w:rPr>
        <w:t>Deterministic rendering where possible, format-specific validation, accessible exports, local generation by default, and clear distinction between editable source and rendered output.</w:t>
      </w:r>
    </w:p>
    <w:p>
      <w:r>
        <w:rPr>
          <w:rFonts w:ascii="Calibri" w:hAnsi="Calibri"/>
          <w:b/>
          <w:sz w:val="22"/>
        </w:rPr>
        <w:t xml:space="preserve">Proof metric: </w:t>
      </w:r>
      <w:r>
        <w:rPr>
          <w:rFonts w:ascii="Calibri" w:hAnsi="Calibri"/>
          <w:i w:val="0"/>
          <w:sz w:val="22"/>
        </w:rPr>
        <w:t>30 percent of completed non-chat tasks create a saved artifact, and 80 percent of generated artifacts open without repair in their target application.</w:t>
      </w:r>
    </w:p>
    <w:p>
      <w:pPr>
        <w:pStyle w:val="Heading2"/>
        <w:keepNext/>
      </w:pPr>
      <w:r>
        <w:rPr>
          <w:rFonts w:ascii="Calibri" w:hAnsi="Calibri"/>
          <w:b/>
          <w:color w:val="2E74B5"/>
          <w:sz w:val="26"/>
        </w:rPr>
        <w:t>F03  Watched knowledge sources and freshness controls</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Workspace knowledge stays current automatically instead of relying on manual full re-ingestion.</w:t>
      </w:r>
    </w:p>
    <w:p>
      <w:r>
        <w:rPr>
          <w:rFonts w:ascii="Calibri" w:hAnsi="Calibri"/>
          <w:b/>
          <w:sz w:val="22"/>
        </w:rPr>
        <w:t xml:space="preserve">Use cases unlocked: </w:t>
      </w:r>
      <w:r>
        <w:rPr>
          <w:rFonts w:ascii="Calibri" w:hAnsi="Calibri"/>
          <w:i w:val="0"/>
          <w:sz w:val="22"/>
        </w:rPr>
        <w:t>Living project knowledge, policy libraries, support documentation, research collections, personal notes, and continuously changing repositories.</w:t>
      </w:r>
    </w:p>
    <w:p>
      <w:r>
        <w:rPr>
          <w:rFonts w:ascii="Calibri" w:hAnsi="Calibri"/>
          <w:b/>
          <w:sz w:val="22"/>
        </w:rPr>
        <w:t xml:space="preserve">MVP: </w:t>
      </w:r>
      <w:r>
        <w:rPr>
          <w:rFonts w:ascii="Calibri" w:hAnsi="Calibri"/>
          <w:i w:val="0"/>
          <w:sz w:val="22"/>
        </w:rPr>
        <w:t>Add watched folders with incremental indexing, deletion detection, per-source include/exclude rules, file-type filters, last-index status, failed-file visibility, and manual re-index. Preserve current workspace boundaries and citations.</w:t>
      </w:r>
    </w:p>
    <w:p>
      <w:r>
        <w:rPr>
          <w:rFonts w:ascii="Calibri" w:hAnsi="Calibri"/>
          <w:b/>
          <w:sz w:val="22"/>
        </w:rPr>
        <w:t xml:space="preserve">Expansion: </w:t>
      </w:r>
      <w:r>
        <w:rPr>
          <w:rFonts w:ascii="Calibri" w:hAnsi="Calibri"/>
          <w:i w:val="0"/>
          <w:sz w:val="22"/>
        </w:rPr>
        <w:t>Connected drives, mailboxes, wikis, Git hosting, database snapshots, retention windows, and semantic duplicate detection.</w:t>
      </w:r>
    </w:p>
    <w:p>
      <w:r>
        <w:rPr>
          <w:rFonts w:ascii="Calibri" w:hAnsi="Calibri"/>
          <w:b/>
          <w:sz w:val="22"/>
        </w:rPr>
        <w:t xml:space="preserve">Dependencies and guardrails: </w:t>
      </w:r>
      <w:r>
        <w:rPr>
          <w:rFonts w:ascii="Calibri" w:hAnsi="Calibri"/>
          <w:i w:val="0"/>
          <w:sz w:val="22"/>
        </w:rPr>
        <w:t>Background resource limits, symlink and permission safety, source ownership, index versioning, and a visible freshness timestamp in answers.</w:t>
      </w:r>
    </w:p>
    <w:p>
      <w:r>
        <w:rPr>
          <w:rFonts w:ascii="Calibri" w:hAnsi="Calibri"/>
          <w:b/>
          <w:sz w:val="22"/>
        </w:rPr>
        <w:t xml:space="preserve">Proof metric: </w:t>
      </w:r>
      <w:r>
        <w:rPr>
          <w:rFonts w:ascii="Calibri" w:hAnsi="Calibri"/>
          <w:i w:val="0"/>
          <w:sz w:val="22"/>
        </w:rPr>
        <w:t>95 percent of changed supported files appear in retrieval within the configured freshness window without a full rebuild.</w:t>
      </w:r>
    </w:p>
    <w:p>
      <w:pPr>
        <w:pStyle w:val="Heading2"/>
        <w:keepNext/>
      </w:pPr>
      <w:r>
        <w:rPr>
          <w:rFonts w:ascii="Calibri" w:hAnsi="Calibri"/>
          <w:b/>
          <w:color w:val="2E74B5"/>
          <w:sz w:val="26"/>
        </w:rPr>
        <w:t>F04  Evidence-grade research workspace</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A user can collect sources, ask research questions, compare claims, and produce a cited brief with an auditable evidence trail.</w:t>
      </w:r>
    </w:p>
    <w:p>
      <w:r>
        <w:rPr>
          <w:rFonts w:ascii="Calibri" w:hAnsi="Calibri"/>
          <w:b/>
          <w:sz w:val="22"/>
        </w:rPr>
        <w:t xml:space="preserve">Use cases unlocked: </w:t>
      </w:r>
      <w:r>
        <w:rPr>
          <w:rFonts w:ascii="Calibri" w:hAnsi="Calibri"/>
          <w:i w:val="0"/>
          <w:sz w:val="22"/>
        </w:rPr>
        <w:t>Market research, technical due diligence, policy review, literature review, vendor comparison, incident analysis, and internal investigations.</w:t>
      </w:r>
    </w:p>
    <w:p>
      <w:r>
        <w:rPr>
          <w:rFonts w:ascii="Calibri" w:hAnsi="Calibri"/>
          <w:b/>
          <w:sz w:val="22"/>
        </w:rPr>
        <w:t xml:space="preserve">MVP: </w:t>
      </w:r>
      <w:r>
        <w:rPr>
          <w:rFonts w:ascii="Calibri" w:hAnsi="Calibri"/>
          <w:i w:val="0"/>
          <w:sz w:val="22"/>
        </w:rPr>
        <w:t>Create a research project view with source collection, notes, saved queries, claim-to-source mapping, citation snippets, contradiction flags, and an evidence export. Combine workspace RAG, graph relations, and approval-gated web tools into one guided flow.</w:t>
      </w:r>
    </w:p>
    <w:p>
      <w:r>
        <w:rPr>
          <w:rFonts w:ascii="Calibri" w:hAnsi="Calibri"/>
          <w:b/>
          <w:sz w:val="22"/>
        </w:rPr>
        <w:t xml:space="preserve">Expansion: </w:t>
      </w:r>
      <w:r>
        <w:rPr>
          <w:rFonts w:ascii="Calibri" w:hAnsi="Calibri"/>
          <w:i w:val="0"/>
          <w:sz w:val="22"/>
        </w:rPr>
        <w:t>Research plans, source quality scoring, change monitoring, team review, reproducible snapshots, and domain-specific evidence templates.</w:t>
      </w:r>
    </w:p>
    <w:p>
      <w:r>
        <w:rPr>
          <w:rFonts w:ascii="Calibri" w:hAnsi="Calibri"/>
          <w:b/>
          <w:sz w:val="22"/>
        </w:rPr>
        <w:t xml:space="preserve">Dependencies and guardrails: </w:t>
      </w:r>
      <w:r>
        <w:rPr>
          <w:rFonts w:ascii="Calibri" w:hAnsi="Calibri"/>
          <w:i w:val="0"/>
          <w:sz w:val="22"/>
        </w:rPr>
        <w:t>Every factual synthesis must retain source location, retrieval date, and model uncertainty; unsupported claims should be visibly marked.</w:t>
      </w:r>
    </w:p>
    <w:p>
      <w:r>
        <w:rPr>
          <w:rFonts w:ascii="Calibri" w:hAnsi="Calibri"/>
          <w:b/>
          <w:sz w:val="22"/>
        </w:rPr>
        <w:t xml:space="preserve">Proof metric: </w:t>
      </w:r>
      <w:r>
        <w:rPr>
          <w:rFonts w:ascii="Calibri" w:hAnsi="Calibri"/>
          <w:i w:val="0"/>
          <w:sz w:val="22"/>
        </w:rPr>
        <w:t>A user can regenerate a report and trace every material claim to a stored source without reading raw task logs.</w:t>
      </w:r>
    </w:p>
    <w:p>
      <w:pPr>
        <w:pStyle w:val="Heading2"/>
        <w:keepNext/>
      </w:pPr>
      <w:r>
        <w:rPr>
          <w:rFonts w:ascii="Calibri" w:hAnsi="Calibri"/>
          <w:b/>
          <w:color w:val="2E74B5"/>
          <w:sz w:val="26"/>
        </w:rPr>
        <w:t>F05  Executable schedules, triggers, and workflow templates</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Durable schedule definitions become reliable autonomous jobs with ownership, status, retries, approvals, and delivery.</w:t>
      </w:r>
    </w:p>
    <w:p>
      <w:r>
        <w:rPr>
          <w:rFonts w:ascii="Calibri" w:hAnsi="Calibri"/>
          <w:b/>
          <w:sz w:val="22"/>
        </w:rPr>
        <w:t xml:space="preserve">Use cases unlocked: </w:t>
      </w:r>
      <w:r>
        <w:rPr>
          <w:rFonts w:ascii="Calibri" w:hAnsi="Calibri"/>
          <w:i w:val="0"/>
          <w:sz w:val="22"/>
        </w:rPr>
        <w:t>Daily briefings, folder monitoring, recurring reports, model health checks, backup verification, inbox triage, compliance scans, and scheduled code maintenance.</w:t>
      </w:r>
    </w:p>
    <w:p>
      <w:r>
        <w:rPr>
          <w:rFonts w:ascii="Calibri" w:hAnsi="Calibri"/>
          <w:b/>
          <w:sz w:val="22"/>
        </w:rPr>
        <w:t xml:space="preserve">MVP: </w:t>
      </w:r>
      <w:r>
        <w:rPr>
          <w:rFonts w:ascii="Calibri" w:hAnsi="Calibri"/>
          <w:i w:val="0"/>
          <w:sz w:val="22"/>
        </w:rPr>
        <w:t>Add a scheduler worker, timezone-aware recurrence, one-shot and interval schedules, enable/disable/edit/delete, run history, missed-run policy, retry/backoff, model/workspace selection, approval behavior, and notification routing. Ship five starter templates.</w:t>
      </w:r>
    </w:p>
    <w:p>
      <w:r>
        <w:rPr>
          <w:rFonts w:ascii="Calibri" w:hAnsi="Calibri"/>
          <w:b/>
          <w:sz w:val="22"/>
        </w:rPr>
        <w:t xml:space="preserve">Expansion: </w:t>
      </w:r>
      <w:r>
        <w:rPr>
          <w:rFonts w:ascii="Calibri" w:hAnsi="Calibri"/>
          <w:i w:val="0"/>
          <w:sz w:val="22"/>
        </w:rPr>
        <w:t>Event triggers for files, webhooks, connector events, Git changes, model health, and user-defined conditions; later add a visual workflow builder.</w:t>
      </w:r>
    </w:p>
    <w:p>
      <w:r>
        <w:rPr>
          <w:rFonts w:ascii="Calibri" w:hAnsi="Calibri"/>
          <w:b/>
          <w:sz w:val="22"/>
        </w:rPr>
        <w:t xml:space="preserve">Dependencies and guardrails: </w:t>
      </w:r>
      <w:r>
        <w:rPr>
          <w:rFonts w:ascii="Calibri" w:hAnsi="Calibri"/>
          <w:i w:val="0"/>
          <w:sz w:val="22"/>
        </w:rPr>
        <w:t>Idempotency keys, concurrency controls, per-user ownership, task budgets, no hidden permission elevation, and a dry-run preview.</w:t>
      </w:r>
    </w:p>
    <w:p>
      <w:r>
        <w:rPr>
          <w:rFonts w:ascii="Calibri" w:hAnsi="Calibri"/>
          <w:b/>
          <w:sz w:val="22"/>
        </w:rPr>
        <w:t xml:space="preserve">Proof metric: </w:t>
      </w:r>
      <w:r>
        <w:rPr>
          <w:rFonts w:ascii="Calibri" w:hAnsi="Calibri"/>
          <w:i w:val="0"/>
          <w:sz w:val="22"/>
        </w:rPr>
        <w:t>More than 95 percent of scheduled runs either complete or surface an actionable failure with no duplicate side effects.</w:t>
      </w:r>
    </w:p>
    <w:p>
      <w:pPr>
        <w:pStyle w:val="Heading2"/>
        <w:keepNext/>
      </w:pPr>
      <w:r>
        <w:rPr>
          <w:rFonts w:ascii="Calibri" w:hAnsi="Calibri"/>
          <w:b/>
          <w:color w:val="2E74B5"/>
          <w:sz w:val="26"/>
        </w:rPr>
        <w:t>F06  Production connector action layer</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Connectors move from stored configuration to governed tools that agents can actually use.</w:t>
      </w:r>
    </w:p>
    <w:p>
      <w:r>
        <w:rPr>
          <w:rFonts w:ascii="Calibri" w:hAnsi="Calibri"/>
          <w:b/>
          <w:sz w:val="22"/>
        </w:rPr>
        <w:t xml:space="preserve">Use cases unlocked: </w:t>
      </w:r>
      <w:r>
        <w:rPr>
          <w:rFonts w:ascii="Calibri" w:hAnsi="Calibri"/>
          <w:i w:val="0"/>
          <w:sz w:val="22"/>
        </w:rPr>
        <w:t>Read and send email, manage calendars, search drives, post updates, create tickets, update wikis, call internal APIs, and deliver artifacts.</w:t>
      </w:r>
    </w:p>
    <w:p>
      <w:r>
        <w:rPr>
          <w:rFonts w:ascii="Calibri" w:hAnsi="Calibri"/>
          <w:b/>
          <w:sz w:val="22"/>
        </w:rPr>
        <w:t xml:space="preserve">MVP: </w:t>
      </w:r>
      <w:r>
        <w:rPr>
          <w:rFonts w:ascii="Calibri" w:hAnsi="Calibri"/>
          <w:i w:val="0"/>
          <w:sz w:val="22"/>
        </w:rPr>
        <w:t>Complete OAuth handoff and token refresh; define a common connector contract for search, fetch, create, update, and send; expose granular scopes, per-action approvals, test mode, rate limits, redaction, and audit events. Clearly label configured versus authorized versus operational.</w:t>
      </w:r>
    </w:p>
    <w:p>
      <w:r>
        <w:rPr>
          <w:rFonts w:ascii="Calibri" w:hAnsi="Calibri"/>
          <w:b/>
          <w:sz w:val="22"/>
        </w:rPr>
        <w:t xml:space="preserve">Expansion: </w:t>
      </w:r>
      <w:r>
        <w:rPr>
          <w:rFonts w:ascii="Calibri" w:hAnsi="Calibri"/>
          <w:i w:val="0"/>
          <w:sz w:val="22"/>
        </w:rPr>
        <w:t>Connector-specific triggers, admin-approved action bundles, service accounts, delegated user identity, and connector health dashboards.</w:t>
      </w:r>
    </w:p>
    <w:p>
      <w:r>
        <w:rPr>
          <w:rFonts w:ascii="Calibri" w:hAnsi="Calibri"/>
          <w:b/>
          <w:sz w:val="22"/>
        </w:rPr>
        <w:t xml:space="preserve">Dependencies and guardrails: </w:t>
      </w:r>
      <w:r>
        <w:rPr>
          <w:rFonts w:ascii="Calibri" w:hAnsi="Calibri"/>
          <w:i w:val="0"/>
          <w:sz w:val="22"/>
        </w:rPr>
        <w:t>Encrypt secrets at rest, never return secrets to the browser, use least-privilege scopes, prevent prompt injection from retrieved external content, and require confirmation for external sends by default.</w:t>
      </w:r>
    </w:p>
    <w:p>
      <w:r>
        <w:rPr>
          <w:rFonts w:ascii="Calibri" w:hAnsi="Calibri"/>
          <w:b/>
          <w:sz w:val="22"/>
        </w:rPr>
        <w:t xml:space="preserve">Proof metric: </w:t>
      </w:r>
      <w:r>
        <w:rPr>
          <w:rFonts w:ascii="Calibri" w:hAnsi="Calibri"/>
          <w:i w:val="0"/>
          <w:sz w:val="22"/>
        </w:rPr>
        <w:t>A connector-backed task completes a read-transform-review-write loop with every external action visible in the audit trail.</w:t>
      </w:r>
    </w:p>
    <w:p>
      <w:pPr>
        <w:pStyle w:val="Heading2"/>
        <w:keepNext/>
      </w:pPr>
      <w:r>
        <w:rPr>
          <w:rFonts w:ascii="Calibri" w:hAnsi="Calibri"/>
          <w:b/>
          <w:color w:val="2E74B5"/>
          <w:sz w:val="26"/>
        </w:rPr>
        <w:t>F07  Email, calendar, drive, and collaboration packs</w:t>
      </w:r>
      <w:r>
        <w:rPr>
          <w:rFonts w:ascii="Calibri" w:hAnsi="Calibri"/>
          <w:b/>
          <w:color w:val="8A6500"/>
          <w:sz w:val="18"/>
        </w:rPr>
        <w:t xml:space="preserve">   NEXT</w:t>
      </w:r>
    </w:p>
    <w:p>
      <w:r>
        <w:rPr>
          <w:rFonts w:ascii="Calibri" w:hAnsi="Calibri"/>
          <w:b/>
          <w:sz w:val="22"/>
        </w:rPr>
        <w:t xml:space="preserve">Outcome: </w:t>
      </w:r>
      <w:r>
        <w:rPr>
          <w:rFonts w:ascii="Calibri" w:hAnsi="Calibri"/>
          <w:i w:val="0"/>
          <w:sz w:val="22"/>
        </w:rPr>
        <w:t>The action layer ships as understandable user-facing workflows rather than a collection of low-level API tools.</w:t>
      </w:r>
    </w:p>
    <w:p>
      <w:r>
        <w:rPr>
          <w:rFonts w:ascii="Calibri" w:hAnsi="Calibri"/>
          <w:b/>
          <w:sz w:val="22"/>
        </w:rPr>
        <w:t xml:space="preserve">Use cases unlocked: </w:t>
      </w:r>
      <w:r>
        <w:rPr>
          <w:rFonts w:ascii="Calibri" w:hAnsi="Calibri"/>
          <w:i w:val="0"/>
          <w:sz w:val="22"/>
        </w:rPr>
        <w:t>Morning briefing, meeting preparation, follow-up drafting, inbox triage, document filing, team status digests, approval requests, and knowledge capture.</w:t>
      </w:r>
    </w:p>
    <w:p>
      <w:r>
        <w:rPr>
          <w:rFonts w:ascii="Calibri" w:hAnsi="Calibri"/>
          <w:b/>
          <w:sz w:val="22"/>
        </w:rPr>
        <w:t xml:space="preserve">MVP: </w:t>
      </w:r>
      <w:r>
        <w:rPr>
          <w:rFonts w:ascii="Calibri" w:hAnsi="Calibri"/>
          <w:i w:val="0"/>
          <w:sz w:val="22"/>
        </w:rPr>
        <w:t>Provide curated packs for Gmail/Outlook, Google/Microsoft calendars, Drive/SharePoint/OneDrive, Slack/Teams, and HTTPS webhooks. Each pack includes safe defaults, example automations, permissions, and test fixtures.</w:t>
      </w:r>
    </w:p>
    <w:p>
      <w:r>
        <w:rPr>
          <w:rFonts w:ascii="Calibri" w:hAnsi="Calibri"/>
          <w:b/>
          <w:sz w:val="22"/>
        </w:rPr>
        <w:t xml:space="preserve">Expansion: </w:t>
      </w:r>
      <w:r>
        <w:rPr>
          <w:rFonts w:ascii="Calibri" w:hAnsi="Calibri"/>
          <w:i w:val="0"/>
          <w:sz w:val="22"/>
        </w:rPr>
        <w:t>Notion, Jira/Confluence, GitHub/GitLab, CRM systems, help desks, and industry-specific sources.</w:t>
      </w:r>
    </w:p>
    <w:p>
      <w:r>
        <w:rPr>
          <w:rFonts w:ascii="Calibri" w:hAnsi="Calibri"/>
          <w:b/>
          <w:sz w:val="22"/>
        </w:rPr>
        <w:t xml:space="preserve">Dependencies and guardrails: </w:t>
      </w:r>
      <w:r>
        <w:rPr>
          <w:rFonts w:ascii="Calibri" w:hAnsi="Calibri"/>
          <w:i w:val="0"/>
          <w:sz w:val="22"/>
        </w:rPr>
        <w:t>Built on F06; preserve account isolation, distinguish draft from send, support administrator allowlists, and provide an emergency connector kill switch.</w:t>
      </w:r>
    </w:p>
    <w:p>
      <w:r>
        <w:rPr>
          <w:rFonts w:ascii="Calibri" w:hAnsi="Calibri"/>
          <w:b/>
          <w:sz w:val="22"/>
        </w:rPr>
        <w:t xml:space="preserve">Proof metric: </w:t>
      </w:r>
      <w:r>
        <w:rPr>
          <w:rFonts w:ascii="Calibri" w:hAnsi="Calibri"/>
          <w:i w:val="0"/>
          <w:sz w:val="22"/>
        </w:rPr>
        <w:t>A new user can authorize one pack and complete a useful cross-system workflow in under 15 minutes.</w:t>
      </w:r>
    </w:p>
    <w:p>
      <w:pPr>
        <w:pStyle w:val="Heading2"/>
        <w:keepNext/>
      </w:pPr>
      <w:r>
        <w:rPr>
          <w:rFonts w:ascii="Calibri" w:hAnsi="Calibri"/>
          <w:b/>
          <w:color w:val="2E74B5"/>
          <w:sz w:val="26"/>
        </w:rPr>
        <w:t>F08  Coding workspace: issue to tested patch</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A developer can give Rasputin a bug or issue and receive a tested, reviewable patch with transparent progress.</w:t>
      </w:r>
    </w:p>
    <w:p>
      <w:r>
        <w:rPr>
          <w:rFonts w:ascii="Calibri" w:hAnsi="Calibri"/>
          <w:b/>
          <w:sz w:val="22"/>
        </w:rPr>
        <w:t xml:space="preserve">Use cases unlocked: </w:t>
      </w:r>
      <w:r>
        <w:rPr>
          <w:rFonts w:ascii="Calibri" w:hAnsi="Calibri"/>
          <w:i w:val="0"/>
          <w:sz w:val="22"/>
        </w:rPr>
        <w:t>Bug fixes, refactors, test creation, dependency upgrades, documentation maintenance, code review, and repository onboarding.</w:t>
      </w:r>
    </w:p>
    <w:p>
      <w:r>
        <w:rPr>
          <w:rFonts w:ascii="Calibri" w:hAnsi="Calibri"/>
          <w:b/>
          <w:sz w:val="22"/>
        </w:rPr>
        <w:t xml:space="preserve">MVP: </w:t>
      </w:r>
      <w:r>
        <w:rPr>
          <w:rFonts w:ascii="Calibri" w:hAnsi="Calibri"/>
          <w:i w:val="0"/>
          <w:sz w:val="22"/>
        </w:rPr>
        <w:t>Finish workspace test/build/lint command setup in the UI; add repo onboarding, live tool timeline, terminal output, touched-file summary, diff review, per-file restore, explicit commit handoff, and a guided 'issue to patch' task. Validate a real local coder model editing files and iterating on tests.</w:t>
      </w:r>
    </w:p>
    <w:p>
      <w:r>
        <w:rPr>
          <w:rFonts w:ascii="Calibri" w:hAnsi="Calibri"/>
          <w:b/>
          <w:sz w:val="22"/>
        </w:rPr>
        <w:t xml:space="preserve">Expansion: </w:t>
      </w:r>
      <w:r>
        <w:rPr>
          <w:rFonts w:ascii="Calibri" w:hAnsi="Calibri"/>
          <w:i w:val="0"/>
          <w:sz w:val="22"/>
        </w:rPr>
        <w:t>GitHub/GitLab issue import, branch/worktree isolation, CI status, pull request drafting, review comment resolution, dev-server previews, and multi-agent task decomposition.</w:t>
      </w:r>
    </w:p>
    <w:p>
      <w:r>
        <w:rPr>
          <w:rFonts w:ascii="Calibri" w:hAnsi="Calibri"/>
          <w:b/>
          <w:sz w:val="22"/>
        </w:rPr>
        <w:t xml:space="preserve">Dependencies and guardrails: </w:t>
      </w:r>
      <w:r>
        <w:rPr>
          <w:rFonts w:ascii="Calibri" w:hAnsi="Calibri"/>
          <w:i w:val="0"/>
          <w:sz w:val="22"/>
        </w:rPr>
        <w:t>Capability preflight, workspace permissions, bounded shell execution, secret redaction, branch safety, no automatic push by default, and deterministic rollback.</w:t>
      </w:r>
    </w:p>
    <w:p>
      <w:r>
        <w:rPr>
          <w:rFonts w:ascii="Calibri" w:hAnsi="Calibri"/>
          <w:b/>
          <w:sz w:val="22"/>
        </w:rPr>
        <w:t xml:space="preserve">Proof metric: </w:t>
      </w:r>
      <w:r>
        <w:rPr>
          <w:rFonts w:ascii="Calibri" w:hAnsi="Calibri"/>
          <w:i w:val="0"/>
          <w:sz w:val="22"/>
        </w:rPr>
        <w:t>A representative multi-file bug fix reaches passing configured tests and a clean review state in one task without manual per-tool babysitting.</w:t>
      </w:r>
    </w:p>
    <w:p>
      <w:pPr>
        <w:pStyle w:val="Heading2"/>
        <w:keepNext/>
      </w:pPr>
      <w:r>
        <w:rPr>
          <w:rFonts w:ascii="Calibri" w:hAnsi="Calibri"/>
          <w:b/>
          <w:color w:val="2E74B5"/>
          <w:sz w:val="26"/>
        </w:rPr>
        <w:t>F09  Model readiness certification and smart routing</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Rasputin never asks a model to perform a job it has not proved it can do, and it chooses the best available model within privacy, hardware, speed, and quality constraints.</w:t>
      </w:r>
    </w:p>
    <w:p>
      <w:r>
        <w:rPr>
          <w:rFonts w:ascii="Calibri" w:hAnsi="Calibri"/>
          <w:b/>
          <w:sz w:val="22"/>
        </w:rPr>
        <w:t xml:space="preserve">Use cases unlocked: </w:t>
      </w:r>
      <w:r>
        <w:rPr>
          <w:rFonts w:ascii="Calibri" w:hAnsi="Calibri"/>
          <w:i w:val="0"/>
          <w:sz w:val="22"/>
        </w:rPr>
        <w:t>Reliable local coding, offline research, cost-controlled team use, mixed hardware fleets, and safe fallback between chat-only and tool-capable models.</w:t>
      </w:r>
    </w:p>
    <w:p>
      <w:r>
        <w:rPr>
          <w:rFonts w:ascii="Calibri" w:hAnsi="Calibri"/>
          <w:b/>
          <w:sz w:val="22"/>
        </w:rPr>
        <w:t xml:space="preserve">MVP: </w:t>
      </w:r>
      <w:r>
        <w:rPr>
          <w:rFonts w:ascii="Calibri" w:hAnsi="Calibri"/>
          <w:i w:val="0"/>
          <w:sz w:val="22"/>
        </w:rPr>
        <w:t>Add a readiness test per model/runtime for chat, structured output, tool calling, long context, image input, embeddings, and coding. Store capability status with timestamps and disable incompatible modes before task start. Add routing rules for privacy, role, latency, context size, and fallback.</w:t>
      </w:r>
    </w:p>
    <w:p>
      <w:r>
        <w:rPr>
          <w:rFonts w:ascii="Calibri" w:hAnsi="Calibri"/>
          <w:b/>
          <w:sz w:val="22"/>
        </w:rPr>
        <w:t xml:space="preserve">Expansion: </w:t>
      </w:r>
      <w:r>
        <w:rPr>
          <w:rFonts w:ascii="Calibri" w:hAnsi="Calibri"/>
          <w:i w:val="0"/>
          <w:sz w:val="22"/>
        </w:rPr>
        <w:t>Automatic benchmark refresh, policy-based routing, per-workspace preferences, ensemble or judge routes, and recommendation from historical task outcomes.</w:t>
      </w:r>
    </w:p>
    <w:p>
      <w:r>
        <w:rPr>
          <w:rFonts w:ascii="Calibri" w:hAnsi="Calibri"/>
          <w:b/>
          <w:sz w:val="22"/>
        </w:rPr>
        <w:t xml:space="preserve">Dependencies and guardrails: </w:t>
      </w:r>
      <w:r>
        <w:rPr>
          <w:rFonts w:ascii="Calibri" w:hAnsi="Calibri"/>
          <w:i w:val="0"/>
          <w:sz w:val="22"/>
        </w:rPr>
        <w:t>Conservative defaults, explain every routing decision, never silently cross the local/cloud boundary, and separate inferred hints from verified capabilities.</w:t>
      </w:r>
    </w:p>
    <w:p>
      <w:r>
        <w:rPr>
          <w:rFonts w:ascii="Calibri" w:hAnsi="Calibri"/>
          <w:b/>
          <w:sz w:val="22"/>
        </w:rPr>
        <w:t xml:space="preserve">Proof metric: </w:t>
      </w:r>
      <w:r>
        <w:rPr>
          <w:rFonts w:ascii="Calibri" w:hAnsi="Calibri"/>
          <w:i w:val="0"/>
          <w:sz w:val="22"/>
        </w:rPr>
        <w:t>Fewer than 1 percent of tasks fail because the selected model lacks a required capability, with zero silent cloud fallback under privacy lock.</w:t>
      </w:r>
    </w:p>
    <w:p>
      <w:pPr>
        <w:pStyle w:val="Heading2"/>
        <w:keepNext/>
      </w:pPr>
      <w:r>
        <w:rPr>
          <w:rFonts w:ascii="Calibri" w:hAnsi="Calibri"/>
          <w:b/>
          <w:color w:val="2E74B5"/>
          <w:sz w:val="26"/>
        </w:rPr>
        <w:t>F10  Continuous evaluation and regression gates</w:t>
      </w:r>
      <w:r>
        <w:rPr>
          <w:rFonts w:ascii="Calibri" w:hAnsi="Calibri"/>
          <w:b/>
          <w:color w:val="8A6500"/>
          <w:sz w:val="18"/>
        </w:rPr>
        <w:t xml:space="preserve">   NEXT</w:t>
      </w:r>
    </w:p>
    <w:p>
      <w:r>
        <w:rPr>
          <w:rFonts w:ascii="Calibri" w:hAnsi="Calibri"/>
          <w:b/>
          <w:sz w:val="22"/>
        </w:rPr>
        <w:t xml:space="preserve">Outcome: </w:t>
      </w:r>
      <w:r>
        <w:rPr>
          <w:rFonts w:ascii="Calibri" w:hAnsi="Calibri"/>
          <w:i w:val="0"/>
          <w:sz w:val="22"/>
        </w:rPr>
        <w:t>Trials become an operational quality system that catches model, prompt, tool, and release regressions before users do.</w:t>
      </w:r>
    </w:p>
    <w:p>
      <w:r>
        <w:rPr>
          <w:rFonts w:ascii="Calibri" w:hAnsi="Calibri"/>
          <w:b/>
          <w:sz w:val="22"/>
        </w:rPr>
        <w:t xml:space="preserve">Use cases unlocked: </w:t>
      </w:r>
      <w:r>
        <w:rPr>
          <w:rFonts w:ascii="Calibri" w:hAnsi="Calibri"/>
          <w:i w:val="0"/>
          <w:sz w:val="22"/>
        </w:rPr>
        <w:t>Model selection, upgrade confidence, local-model qualification, prompt testing, connector safety testing, and release acceptance.</w:t>
      </w:r>
    </w:p>
    <w:p>
      <w:r>
        <w:rPr>
          <w:rFonts w:ascii="Calibri" w:hAnsi="Calibri"/>
          <w:b/>
          <w:sz w:val="22"/>
        </w:rPr>
        <w:t xml:space="preserve">MVP: </w:t>
      </w:r>
      <w:r>
        <w:rPr>
          <w:rFonts w:ascii="Calibri" w:hAnsi="Calibri"/>
          <w:i w:val="0"/>
          <w:sz w:val="22"/>
        </w:rPr>
        <w:t>Turn datasets, benchmarks, comparisons, scorecards, and reports into repeatable suites. Add golden tasks, pass thresholds, scheduled runs, diffable results, environment snapshots, and a release gate for critical capabilities.</w:t>
      </w:r>
    </w:p>
    <w:p>
      <w:r>
        <w:rPr>
          <w:rFonts w:ascii="Calibri" w:hAnsi="Calibri"/>
          <w:b/>
          <w:sz w:val="22"/>
        </w:rPr>
        <w:t xml:space="preserve">Expansion: </w:t>
      </w:r>
      <w:r>
        <w:rPr>
          <w:rFonts w:ascii="Calibri" w:hAnsi="Calibri"/>
          <w:i w:val="0"/>
          <w:sz w:val="22"/>
        </w:rPr>
        <w:t>Human review sampling, production task replay with redaction, drift detection, team dashboards, and hardware-normalized performance profiles.</w:t>
      </w:r>
    </w:p>
    <w:p>
      <w:r>
        <w:rPr>
          <w:rFonts w:ascii="Calibri" w:hAnsi="Calibri"/>
          <w:b/>
          <w:sz w:val="22"/>
        </w:rPr>
        <w:t xml:space="preserve">Dependencies and guardrails: </w:t>
      </w:r>
      <w:r>
        <w:rPr>
          <w:rFonts w:ascii="Calibri" w:hAnsi="Calibri"/>
          <w:i w:val="0"/>
          <w:sz w:val="22"/>
        </w:rPr>
        <w:t>Version prompts/tools/models, isolate side effects, require test connectors or dry runs, and keep evaluation data private and reproducible.</w:t>
      </w:r>
    </w:p>
    <w:p>
      <w:r>
        <w:rPr>
          <w:rFonts w:ascii="Calibri" w:hAnsi="Calibri"/>
          <w:b/>
          <w:sz w:val="22"/>
        </w:rPr>
        <w:t xml:space="preserve">Proof metric: </w:t>
      </w:r>
      <w:r>
        <w:rPr>
          <w:rFonts w:ascii="Calibri" w:hAnsi="Calibri"/>
          <w:i w:val="0"/>
          <w:sz w:val="22"/>
        </w:rPr>
        <w:t>Every release reports the pass rate of a stable critical-path suite, and regressions block promotion rather than becoming user discoveries.</w:t>
      </w:r>
    </w:p>
    <w:p>
      <w:pPr>
        <w:pStyle w:val="Heading2"/>
        <w:keepNext/>
      </w:pPr>
      <w:r>
        <w:rPr>
          <w:rFonts w:ascii="Calibri" w:hAnsi="Calibri"/>
          <w:b/>
          <w:color w:val="2E74B5"/>
          <w:sz w:val="26"/>
        </w:rPr>
        <w:t>F11  Backup, restore, migration, and disaster recovery</w:t>
      </w:r>
      <w:r>
        <w:rPr>
          <w:rFonts w:ascii="Calibri" w:hAnsi="Calibri"/>
          <w:b/>
          <w:color w:val="2D6A4F"/>
          <w:sz w:val="18"/>
        </w:rPr>
        <w:t xml:space="preserve">   NOW</w:t>
      </w:r>
    </w:p>
    <w:p>
      <w:r>
        <w:rPr>
          <w:rFonts w:ascii="Calibri" w:hAnsi="Calibri"/>
          <w:b/>
          <w:sz w:val="22"/>
        </w:rPr>
        <w:t xml:space="preserve">Outcome: </w:t>
      </w:r>
      <w:r>
        <w:rPr>
          <w:rFonts w:ascii="Calibri" w:hAnsi="Calibri"/>
          <w:i w:val="0"/>
          <w:sz w:val="22"/>
        </w:rPr>
        <w:t>Users can trust Rasputin with durable work because they can recover accounts, settings, workspaces, memory, artifacts, audit data, and model metadata.</w:t>
      </w:r>
    </w:p>
    <w:p>
      <w:r>
        <w:rPr>
          <w:rFonts w:ascii="Calibri" w:hAnsi="Calibri"/>
          <w:b/>
          <w:sz w:val="22"/>
        </w:rPr>
        <w:t xml:space="preserve">Use cases unlocked: </w:t>
      </w:r>
      <w:r>
        <w:rPr>
          <w:rFonts w:ascii="Calibri" w:hAnsi="Calibri"/>
          <w:i w:val="0"/>
          <w:sz w:val="22"/>
        </w:rPr>
        <w:t>Long-term daily use, team deployments, machine replacement, upgrades, experimentation, and regulated retention.</w:t>
      </w:r>
    </w:p>
    <w:p>
      <w:r>
        <w:rPr>
          <w:rFonts w:ascii="Calibri" w:hAnsi="Calibri"/>
          <w:b/>
          <w:sz w:val="22"/>
        </w:rPr>
        <w:t xml:space="preserve">MVP: </w:t>
      </w:r>
      <w:r>
        <w:rPr>
          <w:rFonts w:ascii="Calibri" w:hAnsi="Calibri"/>
          <w:i w:val="0"/>
          <w:sz w:val="22"/>
        </w:rPr>
        <w:t>Add encrypted appliance backup, selective restore, pre-upgrade snapshot, retention policy, integrity verification, restore preview, and recovery documentation. Keep large model caches optional and referenceable rather than always copied.</w:t>
      </w:r>
    </w:p>
    <w:p>
      <w:r>
        <w:rPr>
          <w:rFonts w:ascii="Calibri" w:hAnsi="Calibri"/>
          <w:b/>
          <w:sz w:val="22"/>
        </w:rPr>
        <w:t xml:space="preserve">Expansion: </w:t>
      </w:r>
      <w:r>
        <w:rPr>
          <w:rFonts w:ascii="Calibri" w:hAnsi="Calibri"/>
          <w:i w:val="0"/>
          <w:sz w:val="22"/>
        </w:rPr>
        <w:t>Scheduled backups, network targets, cloud-neutral object storage, point-in-time recovery, cross-runtime migration, and admin recovery keys.</w:t>
      </w:r>
    </w:p>
    <w:p>
      <w:r>
        <w:rPr>
          <w:rFonts w:ascii="Calibri" w:hAnsi="Calibri"/>
          <w:b/>
          <w:sz w:val="22"/>
        </w:rPr>
        <w:t xml:space="preserve">Dependencies and guardrails: </w:t>
      </w:r>
      <w:r>
        <w:rPr>
          <w:rFonts w:ascii="Calibri" w:hAnsi="Calibri"/>
          <w:i w:val="0"/>
          <w:sz w:val="22"/>
        </w:rPr>
        <w:t>Schema versioning, secret handling, transactional restore, destination safety checks, clear ownership, and recovery tests in CI.</w:t>
      </w:r>
    </w:p>
    <w:p>
      <w:r>
        <w:rPr>
          <w:rFonts w:ascii="Calibri" w:hAnsi="Calibri"/>
          <w:b/>
          <w:sz w:val="22"/>
        </w:rPr>
        <w:t xml:space="preserve">Proof metric: </w:t>
      </w:r>
      <w:r>
        <w:rPr>
          <w:rFonts w:ascii="Calibri" w:hAnsi="Calibri"/>
          <w:i w:val="0"/>
          <w:sz w:val="22"/>
        </w:rPr>
        <w:t>A clean installation can restore a representative appliance snapshot and pass integrity checks within a documented recovery-time objective.</w:t>
      </w:r>
    </w:p>
    <w:p>
      <w:pPr>
        <w:pStyle w:val="Heading2"/>
        <w:keepNext/>
      </w:pPr>
      <w:r>
        <w:rPr>
          <w:rFonts w:ascii="Calibri" w:hAnsi="Calibri"/>
          <w:b/>
          <w:color w:val="2E74B5"/>
          <w:sz w:val="26"/>
        </w:rPr>
        <w:t>F12  Team hubs, review, and handoff</w:t>
      </w:r>
      <w:r>
        <w:rPr>
          <w:rFonts w:ascii="Calibri" w:hAnsi="Calibri"/>
          <w:b/>
          <w:color w:val="8A6500"/>
          <w:sz w:val="18"/>
        </w:rPr>
        <w:t xml:space="preserve">   NEXT</w:t>
      </w:r>
    </w:p>
    <w:p>
      <w:r>
        <w:rPr>
          <w:rFonts w:ascii="Calibri" w:hAnsi="Calibri"/>
          <w:b/>
          <w:sz w:val="22"/>
        </w:rPr>
        <w:t xml:space="preserve">Outcome: </w:t>
      </w:r>
      <w:r>
        <w:rPr>
          <w:rFonts w:ascii="Calibri" w:hAnsi="Calibri"/>
          <w:i w:val="0"/>
          <w:sz w:val="22"/>
        </w:rPr>
        <w:t>Multi-user support becomes real collaboration around shared work rather than separate users on the same appliance.</w:t>
      </w:r>
    </w:p>
    <w:p>
      <w:r>
        <w:rPr>
          <w:rFonts w:ascii="Calibri" w:hAnsi="Calibri"/>
          <w:b/>
          <w:sz w:val="22"/>
        </w:rPr>
        <w:t xml:space="preserve">Use cases unlocked: </w:t>
      </w:r>
      <w:r>
        <w:rPr>
          <w:rFonts w:ascii="Calibri" w:hAnsi="Calibri"/>
          <w:i w:val="0"/>
          <w:sz w:val="22"/>
        </w:rPr>
        <w:t>Shared research, team coding, approval workflows, internal knowledge operations, manager review, and repeatable departmental processes.</w:t>
      </w:r>
    </w:p>
    <w:p>
      <w:r>
        <w:rPr>
          <w:rFonts w:ascii="Calibri" w:hAnsi="Calibri"/>
          <w:b/>
          <w:sz w:val="22"/>
        </w:rPr>
        <w:t xml:space="preserve">MVP: </w:t>
      </w:r>
      <w:r>
        <w:rPr>
          <w:rFonts w:ascii="Calibri" w:hAnsi="Calibri"/>
          <w:i w:val="0"/>
          <w:sz w:val="22"/>
        </w:rPr>
        <w:t>Add shared project hubs, assignments, watchers, comments, mentions, review requests, status ownership, artifact approval, and explicit handoff. Extend workspace roles with task- and artifact-level visibility where needed.</w:t>
      </w:r>
    </w:p>
    <w:p>
      <w:r>
        <w:rPr>
          <w:rFonts w:ascii="Calibri" w:hAnsi="Calibri"/>
          <w:b/>
          <w:sz w:val="22"/>
        </w:rPr>
        <w:t xml:space="preserve">Expansion: </w:t>
      </w:r>
      <w:r>
        <w:rPr>
          <w:rFonts w:ascii="Calibri" w:hAnsi="Calibri"/>
          <w:i w:val="0"/>
          <w:sz w:val="22"/>
        </w:rPr>
        <w:t>Team dashboards, shared templates, service accounts, workload routing, SSO/LDAP, retention by group, and cross-workspace portfolios.</w:t>
      </w:r>
    </w:p>
    <w:p>
      <w:r>
        <w:rPr>
          <w:rFonts w:ascii="Calibri" w:hAnsi="Calibri"/>
          <w:b/>
          <w:sz w:val="22"/>
        </w:rPr>
        <w:t xml:space="preserve">Dependencies and guardrails: </w:t>
      </w:r>
      <w:r>
        <w:rPr>
          <w:rFonts w:ascii="Calibri" w:hAnsi="Calibri"/>
          <w:i w:val="0"/>
          <w:sz w:val="22"/>
        </w:rPr>
        <w:t>Permission inheritance must be understandable; notifications must respect account scope; audit all access and role changes; avoid exposing private chats by default.</w:t>
      </w:r>
    </w:p>
    <w:p>
      <w:r>
        <w:rPr>
          <w:rFonts w:ascii="Calibri" w:hAnsi="Calibri"/>
          <w:b/>
          <w:sz w:val="22"/>
        </w:rPr>
        <w:t xml:space="preserve">Proof metric: </w:t>
      </w:r>
      <w:r>
        <w:rPr>
          <w:rFonts w:ascii="Calibri" w:hAnsi="Calibri"/>
          <w:i w:val="0"/>
          <w:sz w:val="22"/>
        </w:rPr>
        <w:t>Two users can jointly complete, review, approve, and archive a task without sharing credentials or moving the work outside Rasputin.</w:t>
      </w:r>
    </w:p>
    <w:p>
      <w:pPr>
        <w:pStyle w:val="Heading1"/>
        <w:keepNext/>
      </w:pPr>
      <w:r>
        <w:t>4. Full feature portfolio</w:t>
      </w:r>
    </w:p>
    <w:p>
      <w:r>
        <w:rPr>
          <w:rFonts w:ascii="Calibri" w:hAnsi="Calibri"/>
          <w:i w:val="0"/>
          <w:sz w:val="22"/>
        </w:rPr>
        <w:t>The portfolio below extends the thirteen priority briefs into a comprehensive product backlog. 'Leverage' indicates how directly the feature builds on foundations already visible in the repository.</w:t>
      </w:r>
    </w:p>
    <w:tbl>
      <w:tblPr>
        <w:tblStyle w:val="TableGrid"/>
        <w:tblW w:type="dxa" w:w="9360"/>
        <w:jc w:val="left"/>
        <w:tblLayout w:type="fixed"/>
        <w:tblLook w:firstColumn="1" w:firstRow="1" w:lastColumn="0" w:lastRow="0" w:noHBand="0" w:noVBand="1" w:val="04A0"/>
        <w:tblInd w:w="120" w:type="dxa"/>
      </w:tblPr>
      <w:tblGrid>
        <w:gridCol w:w="600"/>
        <w:gridCol w:w="2500"/>
        <w:gridCol w:w="900"/>
        <w:gridCol w:w="900"/>
        <w:gridCol w:w="4460"/>
      </w:tblGrid>
      <w:tr>
        <w:trPr>
          <w:tblHeader w:val="true"/>
          <w:cantSplit/>
        </w:trPr>
        <w:tc>
          <w:tcPr>
            <w:tcW w:type="dxa" w:w="600"/>
            <w:shd w:fill="E8EEF5"/>
            <w:tcMar>
              <w:top w:w="80" w:type="dxa"/>
              <w:start w:w="120" w:type="dxa"/>
              <w:bottom w:w="80" w:type="dxa"/>
              <w:end w:w="120" w:type="dxa"/>
            </w:tcMar>
            <w:vAlign w:val="center"/>
          </w:tcPr>
          <w:p>
            <w:pPr>
              <w:spacing w:after="0"/>
              <w:jc w:val="left"/>
            </w:pPr>
            <w:r>
              <w:rPr>
                <w:rFonts w:ascii="Calibri" w:hAnsi="Calibri"/>
                <w:b/>
                <w:color w:val="15243A"/>
                <w:sz w:val="16"/>
              </w:rPr>
              <w:t>ID</w:t>
            </w:r>
          </w:p>
        </w:tc>
        <w:tc>
          <w:tcPr>
            <w:tcW w:type="dxa" w:w="2500"/>
            <w:shd w:fill="E8EEF5"/>
            <w:tcMar>
              <w:top w:w="80" w:type="dxa"/>
              <w:start w:w="120" w:type="dxa"/>
              <w:bottom w:w="80" w:type="dxa"/>
              <w:end w:w="120" w:type="dxa"/>
            </w:tcMar>
            <w:vAlign w:val="center"/>
          </w:tcPr>
          <w:p>
            <w:pPr>
              <w:spacing w:after="0"/>
              <w:jc w:val="left"/>
            </w:pPr>
            <w:r>
              <w:rPr>
                <w:rFonts w:ascii="Calibri" w:hAnsi="Calibri"/>
                <w:b/>
                <w:color w:val="15243A"/>
                <w:sz w:val="16"/>
              </w:rPr>
              <w:t>Feature</w:t>
            </w:r>
          </w:p>
        </w:tc>
        <w:tc>
          <w:tcPr>
            <w:tcW w:type="dxa" w:w="900"/>
            <w:shd w:fill="E8EEF5"/>
            <w:tcMar>
              <w:top w:w="80" w:type="dxa"/>
              <w:start w:w="120" w:type="dxa"/>
              <w:bottom w:w="80" w:type="dxa"/>
              <w:end w:w="120" w:type="dxa"/>
            </w:tcMar>
            <w:vAlign w:val="center"/>
          </w:tcPr>
          <w:p>
            <w:pPr>
              <w:spacing w:after="0"/>
              <w:jc w:val="left"/>
            </w:pPr>
            <w:r>
              <w:rPr>
                <w:rFonts w:ascii="Calibri" w:hAnsi="Calibri"/>
                <w:b/>
                <w:color w:val="15243A"/>
                <w:sz w:val="16"/>
              </w:rPr>
              <w:t>Priority</w:t>
            </w:r>
          </w:p>
        </w:tc>
        <w:tc>
          <w:tcPr>
            <w:tcW w:type="dxa" w:w="900"/>
            <w:shd w:fill="E8EEF5"/>
            <w:tcMar>
              <w:top w:w="80" w:type="dxa"/>
              <w:start w:w="120" w:type="dxa"/>
              <w:bottom w:w="80" w:type="dxa"/>
              <w:end w:w="120" w:type="dxa"/>
            </w:tcMar>
            <w:vAlign w:val="center"/>
          </w:tcPr>
          <w:p>
            <w:pPr>
              <w:spacing w:after="0"/>
              <w:jc w:val="left"/>
            </w:pPr>
            <w:r>
              <w:rPr>
                <w:rFonts w:ascii="Calibri" w:hAnsi="Calibri"/>
                <w:b/>
                <w:color w:val="15243A"/>
                <w:sz w:val="16"/>
              </w:rPr>
              <w:t>Leverage</w:t>
            </w:r>
          </w:p>
        </w:tc>
        <w:tc>
          <w:tcPr>
            <w:tcW w:type="dxa" w:w="4460"/>
            <w:shd w:fill="E8EEF5"/>
            <w:tcMar>
              <w:top w:w="80" w:type="dxa"/>
              <w:start w:w="120" w:type="dxa"/>
              <w:bottom w:w="80" w:type="dxa"/>
              <w:end w:w="120" w:type="dxa"/>
            </w:tcMar>
            <w:vAlign w:val="center"/>
          </w:tcPr>
          <w:p>
            <w:pPr>
              <w:spacing w:after="0"/>
              <w:jc w:val="left"/>
            </w:pPr>
            <w:r>
              <w:rPr>
                <w:rFonts w:ascii="Calibri" w:hAnsi="Calibri"/>
                <w:b/>
                <w:color w:val="15243A"/>
                <w:sz w:val="16"/>
              </w:rPr>
              <w:t>Primary value</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F13</w:t>
            </w:r>
          </w:p>
        </w:tc>
        <w:tc>
          <w:tcPr>
            <w:tcW w:type="dxa" w:w="2500"/>
            <w:tcMar>
              <w:top w:w="80" w:type="dxa"/>
              <w:start w:w="120" w:type="dxa"/>
              <w:bottom w:w="80" w:type="dxa"/>
              <w:end w:w="120" w:type="dxa"/>
            </w:tcMar>
            <w:vAlign w:val="center"/>
          </w:tcPr>
          <w:p>
            <w:pPr>
              <w:spacing w:after="0"/>
            </w:pPr>
            <w:r>
              <w:rPr>
                <w:rFonts w:ascii="Calibri" w:hAnsi="Calibri"/>
                <w:color w:val="15243A"/>
                <w:sz w:val="16"/>
              </w:rPr>
              <w:t>Artifact templates and style packs</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Reusable document, spreadsheet, report, and coding deliverable templates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F14</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Artifact provenance and version comparison</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Diff versions, show source task/model/citations, approve or revert</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F15</w:t>
            </w:r>
          </w:p>
        </w:tc>
        <w:tc>
          <w:tcPr>
            <w:tcW w:type="dxa" w:w="2500"/>
            <w:tcMar>
              <w:top w:w="80" w:type="dxa"/>
              <w:start w:w="120" w:type="dxa"/>
              <w:bottom w:w="80" w:type="dxa"/>
              <w:end w:w="120" w:type="dxa"/>
            </w:tcMar>
            <w:vAlign w:val="center"/>
          </w:tcPr>
          <w:p>
            <w:pPr>
              <w:spacing w:after="0"/>
            </w:pPr>
            <w:r>
              <w:rPr>
                <w:rFonts w:ascii="Calibri" w:hAnsi="Calibri"/>
                <w:color w:val="15243A"/>
                <w:sz w:val="16"/>
              </w:rPr>
              <w:t>Local OCR and document understanding</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Scans, receipts, forms, diagrams, handwriting where supported</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F16</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Local speech-to-text and text-to-speech</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Meeting notes, voice capture, accessibility, hands-free briefings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F17</w:t>
            </w:r>
          </w:p>
        </w:tc>
        <w:tc>
          <w:tcPr>
            <w:tcW w:type="dxa" w:w="2500"/>
            <w:tcMar>
              <w:top w:w="80" w:type="dxa"/>
              <w:start w:w="120" w:type="dxa"/>
              <w:bottom w:w="80" w:type="dxa"/>
              <w:end w:w="120" w:type="dxa"/>
            </w:tcMar>
            <w:vAlign w:val="center"/>
          </w:tcPr>
          <w:p>
            <w:pPr>
              <w:spacing w:after="0"/>
            </w:pPr>
            <w:r>
              <w:rPr>
                <w:rFonts w:ascii="Calibri" w:hAnsi="Calibri"/>
                <w:color w:val="15243A"/>
                <w:sz w:val="16"/>
              </w:rPr>
              <w:t>Vision and screenshot workflows</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UI diagnosis, diagram analysis, image cataloging, visual QA</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F18</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Cross-workspace knowledge lenses</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Admin-approved research across multiple workspaces without flattening ACLs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F19</w:t>
            </w:r>
          </w:p>
        </w:tc>
        <w:tc>
          <w:tcPr>
            <w:tcW w:type="dxa" w:w="2500"/>
            <w:tcMar>
              <w:top w:w="80" w:type="dxa"/>
              <w:start w:w="120" w:type="dxa"/>
              <w:bottom w:w="80" w:type="dxa"/>
              <w:end w:w="120" w:type="dxa"/>
            </w:tcMar>
            <w:vAlign w:val="center"/>
          </w:tcPr>
          <w:p>
            <w:pPr>
              <w:spacing w:after="0"/>
            </w:pPr>
            <w:r>
              <w:rPr>
                <w:rFonts w:ascii="Calibri" w:hAnsi="Calibri"/>
                <w:color w:val="15243A"/>
                <w:sz w:val="16"/>
              </w:rPr>
              <w:t>Knowledge lifecycle and source governance</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Freshness, retention, retraction, ownership, duplicate and stale-source controls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F20</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Forms and structured intake</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Turn vague requests into validated task specs and approval packets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F21</w:t>
            </w:r>
          </w:p>
        </w:tc>
        <w:tc>
          <w:tcPr>
            <w:tcW w:type="dxa" w:w="2500"/>
            <w:tcMar>
              <w:top w:w="80" w:type="dxa"/>
              <w:start w:w="120" w:type="dxa"/>
              <w:bottom w:w="80" w:type="dxa"/>
              <w:end w:w="120" w:type="dxa"/>
            </w:tcMar>
            <w:vAlign w:val="center"/>
          </w:tcPr>
          <w:p>
            <w:pPr>
              <w:spacing w:after="0"/>
            </w:pPr>
            <w:r>
              <w:rPr>
                <w:rFonts w:ascii="Calibri" w:hAnsi="Calibri"/>
                <w:color w:val="15243A"/>
                <w:sz w:val="16"/>
              </w:rPr>
              <w:t>Visual workflow builder</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Compose trigger, task, condition, approval, connector action, and artifact delivery</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F22</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Event trigger bus</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File changes, Git events, connector events, model health, and webhooks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F23</w:t>
            </w:r>
          </w:p>
        </w:tc>
        <w:tc>
          <w:tcPr>
            <w:tcW w:type="dxa" w:w="2500"/>
            <w:tcMar>
              <w:top w:w="80" w:type="dxa"/>
              <w:start w:w="120" w:type="dxa"/>
              <w:bottom w:w="80" w:type="dxa"/>
              <w:end w:w="120" w:type="dxa"/>
            </w:tcMar>
            <w:vAlign w:val="center"/>
          </w:tcPr>
          <w:p>
            <w:pPr>
              <w:spacing w:after="0"/>
            </w:pPr>
            <w:r>
              <w:rPr>
                <w:rFonts w:ascii="Calibri" w:hAnsi="Calibri"/>
                <w:color w:val="15243A"/>
                <w:sz w:val="16"/>
              </w:rPr>
              <w:t>Human approval policies</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Reusable rules by action risk, workspace, connector, user, and time window</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F24</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Browser automation sandbox</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Governed navigation, form fill, extraction, screenshots, and replay</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F25</w:t>
            </w:r>
          </w:p>
        </w:tc>
        <w:tc>
          <w:tcPr>
            <w:tcW w:type="dxa" w:w="2500"/>
            <w:tcMar>
              <w:top w:w="80" w:type="dxa"/>
              <w:start w:w="120" w:type="dxa"/>
              <w:bottom w:w="80" w:type="dxa"/>
              <w:end w:w="120" w:type="dxa"/>
            </w:tcMar>
            <w:vAlign w:val="center"/>
          </w:tcPr>
          <w:p>
            <w:pPr>
              <w:spacing w:after="0"/>
            </w:pPr>
            <w:r>
              <w:rPr>
                <w:rFonts w:ascii="Calibri" w:hAnsi="Calibri"/>
                <w:color w:val="15243A"/>
                <w:sz w:val="16"/>
              </w:rPr>
              <w:t>Git hosting integration</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Issues, PRs, review comments, checks, releases, and repository metadata</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F26</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Ticketing and knowledge-system packs</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Jira, Confluence, Notion, help desks, and internal wikis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F27</w:t>
            </w:r>
          </w:p>
        </w:tc>
        <w:tc>
          <w:tcPr>
            <w:tcW w:type="dxa" w:w="2500"/>
            <w:tcMar>
              <w:top w:w="80" w:type="dxa"/>
              <w:start w:w="120" w:type="dxa"/>
              <w:bottom w:w="80" w:type="dxa"/>
              <w:end w:w="120" w:type="dxa"/>
            </w:tcMar>
            <w:vAlign w:val="center"/>
          </w:tcPr>
          <w:p>
            <w:pPr>
              <w:spacing w:after="0"/>
            </w:pPr>
            <w:r>
              <w:rPr>
                <w:rFonts w:ascii="Calibri" w:hAnsi="Calibri"/>
                <w:color w:val="15243A"/>
                <w:sz w:val="16"/>
              </w:rPr>
              <w:t>Database and analytics connectors</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Read-only SQL, governed queries, snapshots, charts, and reports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F28</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Git worktree task isolation</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Parallel coding without conflicting edits; safe per-task cleanup</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F29</w:t>
            </w:r>
          </w:p>
        </w:tc>
        <w:tc>
          <w:tcPr>
            <w:tcW w:type="dxa" w:w="2500"/>
            <w:tcMar>
              <w:top w:w="80" w:type="dxa"/>
              <w:start w:w="120" w:type="dxa"/>
              <w:bottom w:w="80" w:type="dxa"/>
              <w:end w:w="120" w:type="dxa"/>
            </w:tcMar>
            <w:vAlign w:val="center"/>
          </w:tcPr>
          <w:p>
            <w:pPr>
              <w:spacing w:after="0"/>
            </w:pPr>
            <w:r>
              <w:rPr>
                <w:rFonts w:ascii="Calibri" w:hAnsi="Calibri"/>
                <w:color w:val="15243A"/>
                <w:sz w:val="16"/>
              </w:rPr>
              <w:t>Dev-server preview and visual verification</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Launch approved local apps, inspect UI, capture evidence, stop cleanly</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F30</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CI/CD action pack</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Run checks, inspect failures, prepare release notes, never deploy without policy</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F31</w:t>
            </w:r>
          </w:p>
        </w:tc>
        <w:tc>
          <w:tcPr>
            <w:tcW w:type="dxa" w:w="2500"/>
            <w:tcMar>
              <w:top w:w="80" w:type="dxa"/>
              <w:start w:w="120" w:type="dxa"/>
              <w:bottom w:w="80" w:type="dxa"/>
              <w:end w:w="120" w:type="dxa"/>
            </w:tcMar>
            <w:vAlign w:val="center"/>
          </w:tcPr>
          <w:p>
            <w:pPr>
              <w:spacing w:after="0"/>
            </w:pPr>
            <w:r>
              <w:rPr>
                <w:rFonts w:ascii="Calibri" w:hAnsi="Calibri"/>
                <w:color w:val="15243A"/>
                <w:sz w:val="16"/>
              </w:rPr>
              <w:t>Model resource scheduler</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Queue GPU/RAM demand, idle unload, priorities, reservations, and thermal limits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F32</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Model profiles and deployment recipes</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Known-good runtime/parser/context/quantization presets by hardware</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F33</w:t>
            </w:r>
          </w:p>
        </w:tc>
        <w:tc>
          <w:tcPr>
            <w:tcW w:type="dxa" w:w="2500"/>
            <w:tcMar>
              <w:top w:w="80" w:type="dxa"/>
              <w:start w:w="120" w:type="dxa"/>
              <w:bottom w:w="80" w:type="dxa"/>
              <w:end w:w="120" w:type="dxa"/>
            </w:tcMar>
            <w:vAlign w:val="center"/>
          </w:tcPr>
          <w:p>
            <w:pPr>
              <w:spacing w:after="0"/>
            </w:pPr>
            <w:r>
              <w:rPr>
                <w:rFonts w:ascii="Calibri" w:hAnsi="Calibri"/>
                <w:color w:val="15243A"/>
                <w:sz w:val="16"/>
              </w:rPr>
              <w:t>Fleet and remote appliance management</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Health, config drift, upgrades, model inventory, and policy across nodes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F34</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Secrets vault and credential rotation</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Encrypted references, scoped access, rotation, health, and emergency revoke</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F35</w:t>
            </w:r>
          </w:p>
        </w:tc>
        <w:tc>
          <w:tcPr>
            <w:tcW w:type="dxa" w:w="2500"/>
            <w:tcMar>
              <w:top w:w="80" w:type="dxa"/>
              <w:start w:w="120" w:type="dxa"/>
              <w:bottom w:w="80" w:type="dxa"/>
              <w:end w:w="120" w:type="dxa"/>
            </w:tcMar>
            <w:vAlign w:val="center"/>
          </w:tcPr>
          <w:p>
            <w:pPr>
              <w:spacing w:after="0"/>
            </w:pPr>
            <w:r>
              <w:rPr>
                <w:rFonts w:ascii="Calibri" w:hAnsi="Calibri"/>
                <w:color w:val="15243A"/>
                <w:sz w:val="16"/>
              </w:rPr>
              <w:t>Policy packs and data-loss prevention</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Regulated defaults, content labels, egress rules, retention, redaction</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F36</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Immutable audit export and SIEM integration</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Signed events, syslog/webhook export, retention and investigation views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F37</w:t>
            </w:r>
          </w:p>
        </w:tc>
        <w:tc>
          <w:tcPr>
            <w:tcW w:type="dxa" w:w="2500"/>
            <w:tcMar>
              <w:top w:w="80" w:type="dxa"/>
              <w:start w:w="120" w:type="dxa"/>
              <w:bottom w:w="80" w:type="dxa"/>
              <w:end w:w="120" w:type="dxa"/>
            </w:tcMar>
            <w:vAlign w:val="center"/>
          </w:tcPr>
          <w:p>
            <w:pPr>
              <w:spacing w:after="0"/>
            </w:pPr>
            <w:r>
              <w:rPr>
                <w:rFonts w:ascii="Calibri" w:hAnsi="Calibri"/>
                <w:color w:val="15243A"/>
                <w:sz w:val="16"/>
              </w:rPr>
              <w:t>SSO, LDAP, and directory groups</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Team onboarding, centralized identity, group-to-workspace mapping</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F38</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Usage, quality, and value dashboards</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Completion, failure, latency, local/cloud split, use cases, and saved time</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F39</w:t>
            </w:r>
          </w:p>
        </w:tc>
        <w:tc>
          <w:tcPr>
            <w:tcW w:type="dxa" w:w="2500"/>
            <w:tcMar>
              <w:top w:w="80" w:type="dxa"/>
              <w:start w:w="120" w:type="dxa"/>
              <w:bottom w:w="80" w:type="dxa"/>
              <w:end w:w="120" w:type="dxa"/>
            </w:tcMar>
            <w:vAlign w:val="center"/>
          </w:tcPr>
          <w:p>
            <w:pPr>
              <w:spacing w:after="0"/>
            </w:pPr>
            <w:r>
              <w:rPr>
                <w:rFonts w:ascii="Calibri" w:hAnsi="Calibri"/>
                <w:color w:val="15243A"/>
                <w:sz w:val="16"/>
              </w:rPr>
              <w:t>Progressive web app and mobile approvals</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Responsive task monitoring, review, approval, capture, and notifications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F40</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Desktop capture and global shortcut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Send selection, screenshot, clipboard, file, or voice note into a task</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F41</w:t>
            </w:r>
          </w:p>
        </w:tc>
        <w:tc>
          <w:tcPr>
            <w:tcW w:type="dxa" w:w="2500"/>
            <w:tcMar>
              <w:top w:w="80" w:type="dxa"/>
              <w:start w:w="120" w:type="dxa"/>
              <w:bottom w:w="80" w:type="dxa"/>
              <w:end w:w="120" w:type="dxa"/>
            </w:tcMar>
            <w:vAlign w:val="center"/>
          </w:tcPr>
          <w:p>
            <w:pPr>
              <w:spacing w:after="0"/>
            </w:pPr>
            <w:r>
              <w:rPr>
                <w:rFonts w:ascii="Calibri" w:hAnsi="Calibri"/>
                <w:color w:val="15243A"/>
                <w:sz w:val="16"/>
              </w:rPr>
              <w:t>Plugin and tool SDK</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Versioned manifests, schemas, permissions, tests, packaging, and lifecycle hooks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F42</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Private skill and workflow registry</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Share, version, approve, roll back, and measure internal capabilities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F43</w:t>
            </w:r>
          </w:p>
        </w:tc>
        <w:tc>
          <w:tcPr>
            <w:tcW w:type="dxa" w:w="2500"/>
            <w:tcMar>
              <w:top w:w="80" w:type="dxa"/>
              <w:start w:w="120" w:type="dxa"/>
              <w:bottom w:w="80" w:type="dxa"/>
              <w:end w:w="120" w:type="dxa"/>
            </w:tcMar>
            <w:vAlign w:val="center"/>
          </w:tcPr>
          <w:p>
            <w:pPr>
              <w:spacing w:after="0"/>
            </w:pPr>
            <w:r>
              <w:rPr>
                <w:rFonts w:ascii="Calibri" w:hAnsi="Calibri"/>
                <w:color w:val="15243A"/>
                <w:sz w:val="16"/>
              </w:rPr>
              <w:t>Vertical solution packs</w:t>
            </w:r>
          </w:p>
        </w:tc>
        <w:tc>
          <w:tcPr>
            <w:tcW w:type="dxa" w:w="900"/>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Curated workflows for development, research, operations, legal, IT, support</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F44</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Update channels and migration assistant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Stable/beta channels, preflight, rollback, data migration, release notes</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F45</w:t>
            </w:r>
          </w:p>
        </w:tc>
        <w:tc>
          <w:tcPr>
            <w:tcW w:type="dxa" w:w="2500"/>
            <w:tcMar>
              <w:top w:w="80" w:type="dxa"/>
              <w:start w:w="120" w:type="dxa"/>
              <w:bottom w:w="80" w:type="dxa"/>
              <w:end w:w="120" w:type="dxa"/>
            </w:tcMar>
            <w:vAlign w:val="center"/>
          </w:tcPr>
          <w:p>
            <w:pPr>
              <w:spacing w:after="0"/>
            </w:pPr>
            <w:r>
              <w:rPr>
                <w:rFonts w:ascii="Calibri" w:hAnsi="Calibri"/>
                <w:color w:val="15243A"/>
                <w:sz w:val="16"/>
              </w:rPr>
              <w:t>Diagnostics and support bundle</w:t>
            </w:r>
          </w:p>
        </w:tc>
        <w:tc>
          <w:tcPr>
            <w:tcW w:type="dxa" w:w="900"/>
            <w:tcMar>
              <w:top w:w="80" w:type="dxa"/>
              <w:start w:w="120" w:type="dxa"/>
              <w:bottom w:w="80" w:type="dxa"/>
              <w:end w:w="120" w:type="dxa"/>
            </w:tcMar>
            <w:vAlign w:val="center"/>
          </w:tcPr>
          <w:p>
            <w:pPr>
              <w:spacing w:after="0"/>
            </w:pPr>
            <w:r>
              <w:rPr>
                <w:rFonts w:ascii="Calibri" w:hAnsi="Calibri"/>
                <w:color w:val="15243A"/>
                <w:sz w:val="16"/>
              </w:rPr>
              <w:t>NOW</w:t>
            </w:r>
          </w:p>
        </w:tc>
        <w:tc>
          <w:tcPr>
            <w:tcW w:type="dxa" w:w="900"/>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tcMar>
              <w:top w:w="80" w:type="dxa"/>
              <w:start w:w="120" w:type="dxa"/>
              <w:bottom w:w="80" w:type="dxa"/>
              <w:end w:w="120" w:type="dxa"/>
            </w:tcMar>
            <w:vAlign w:val="center"/>
          </w:tcPr>
          <w:p>
            <w:pPr>
              <w:spacing w:after="0"/>
            </w:pPr>
            <w:r>
              <w:rPr>
                <w:rFonts w:ascii="Calibri" w:hAnsi="Calibri"/>
                <w:color w:val="15243A"/>
                <w:sz w:val="16"/>
              </w:rPr>
              <w:t>Redacted one-click environment, logs, config, health, and reproduction package</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F46</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Offline help and guided onboarding</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NOW</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High</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Runtime-specific setup, first useful workflow, sample data, contextual help</w:t>
            </w:r>
          </w:p>
        </w:tc>
      </w:tr>
      <w:tr>
        <w:trPr>
          <w:cantSplit/>
        </w:trPr>
        <w:tc>
          <w:tcPr>
            <w:tcW w:type="dxa" w:w="600"/>
            <w:tcMar>
              <w:top w:w="80" w:type="dxa"/>
              <w:start w:w="120" w:type="dxa"/>
              <w:bottom w:w="80" w:type="dxa"/>
              <w:end w:w="120" w:type="dxa"/>
            </w:tcMar>
            <w:vAlign w:val="center"/>
          </w:tcPr>
          <w:p>
            <w:pPr>
              <w:spacing w:after="0"/>
            </w:pPr>
            <w:r>
              <w:rPr>
                <w:rFonts w:ascii="Calibri" w:hAnsi="Calibri"/>
                <w:color w:val="15243A"/>
                <w:sz w:val="16"/>
              </w:rPr>
              <w:t>F47</w:t>
            </w:r>
          </w:p>
        </w:tc>
        <w:tc>
          <w:tcPr>
            <w:tcW w:type="dxa" w:w="2500"/>
            <w:tcMar>
              <w:top w:w="80" w:type="dxa"/>
              <w:start w:w="120" w:type="dxa"/>
              <w:bottom w:w="80" w:type="dxa"/>
              <w:end w:w="120" w:type="dxa"/>
            </w:tcMar>
            <w:vAlign w:val="center"/>
          </w:tcPr>
          <w:p>
            <w:pPr>
              <w:spacing w:after="0"/>
            </w:pPr>
            <w:r>
              <w:rPr>
                <w:rFonts w:ascii="Calibri" w:hAnsi="Calibri"/>
                <w:color w:val="15243A"/>
                <w:sz w:val="16"/>
              </w:rPr>
              <w:t>Accessibility and localization program</w:t>
            </w:r>
          </w:p>
        </w:tc>
        <w:tc>
          <w:tcPr>
            <w:tcW w:type="dxa" w:w="900"/>
            <w:tcMar>
              <w:top w:w="80" w:type="dxa"/>
              <w:start w:w="120" w:type="dxa"/>
              <w:bottom w:w="80" w:type="dxa"/>
              <w:end w:w="120" w:type="dxa"/>
            </w:tcMar>
            <w:vAlign w:val="center"/>
          </w:tcPr>
          <w:p>
            <w:pPr>
              <w:spacing w:after="0"/>
            </w:pPr>
            <w:r>
              <w:rPr>
                <w:rFonts w:ascii="Calibri" w:hAnsi="Calibri"/>
                <w:color w:val="15243A"/>
                <w:sz w:val="16"/>
              </w:rPr>
              <w:t>NEXT</w:t>
            </w:r>
          </w:p>
        </w:tc>
        <w:tc>
          <w:tcPr>
            <w:tcW w:type="dxa" w:w="900"/>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tcMar>
              <w:top w:w="80" w:type="dxa"/>
              <w:start w:w="120" w:type="dxa"/>
              <w:bottom w:w="80" w:type="dxa"/>
              <w:end w:w="120" w:type="dxa"/>
            </w:tcMar>
            <w:vAlign w:val="center"/>
          </w:tcPr>
          <w:p>
            <w:pPr>
              <w:spacing w:after="0"/>
            </w:pPr>
            <w:r>
              <w:rPr>
                <w:rFonts w:ascii="Calibri" w:hAnsi="Calibri"/>
                <w:color w:val="15243A"/>
                <w:sz w:val="16"/>
              </w:rPr>
              <w:t>Keyboard/mouse parity, screen reader QA, high contrast, language packs</w:t>
            </w:r>
          </w:p>
        </w:tc>
      </w:tr>
      <w:tr>
        <w:trPr>
          <w:cantSplit/>
        </w:trPr>
        <w:tc>
          <w:tcPr>
            <w:tcW w:type="dxa" w:w="600"/>
            <w:shd w:fill="FAFBFC"/>
            <w:tcMar>
              <w:top w:w="80" w:type="dxa"/>
              <w:start w:w="120" w:type="dxa"/>
              <w:bottom w:w="80" w:type="dxa"/>
              <w:end w:w="120" w:type="dxa"/>
            </w:tcMar>
            <w:vAlign w:val="center"/>
          </w:tcPr>
          <w:p>
            <w:pPr>
              <w:spacing w:after="0"/>
            </w:pPr>
            <w:r>
              <w:rPr>
                <w:rFonts w:ascii="Calibri" w:hAnsi="Calibri"/>
                <w:color w:val="15243A"/>
                <w:sz w:val="16"/>
              </w:rPr>
              <w:t>F48</w:t>
            </w:r>
          </w:p>
        </w:tc>
        <w:tc>
          <w:tcPr>
            <w:tcW w:type="dxa" w:w="2500"/>
            <w:shd w:fill="FAFBFC"/>
            <w:tcMar>
              <w:top w:w="80" w:type="dxa"/>
              <w:start w:w="120" w:type="dxa"/>
              <w:bottom w:w="80" w:type="dxa"/>
              <w:end w:w="120" w:type="dxa"/>
            </w:tcMar>
            <w:vAlign w:val="center"/>
          </w:tcPr>
          <w:p>
            <w:pPr>
              <w:spacing w:after="0"/>
            </w:pPr>
            <w:r>
              <w:rPr>
                <w:rFonts w:ascii="Calibri" w:hAnsi="Calibri"/>
                <w:color w:val="15243A"/>
                <w:sz w:val="16"/>
              </w:rPr>
              <w:t>API and headless automation surface</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LATER</w:t>
            </w:r>
          </w:p>
        </w:tc>
        <w:tc>
          <w:tcPr>
            <w:tcW w:type="dxa" w:w="900"/>
            <w:shd w:fill="FAFBFC"/>
            <w:tcMar>
              <w:top w:w="80" w:type="dxa"/>
              <w:start w:w="120" w:type="dxa"/>
              <w:bottom w:w="80" w:type="dxa"/>
              <w:end w:w="120" w:type="dxa"/>
            </w:tcMar>
            <w:vAlign w:val="center"/>
          </w:tcPr>
          <w:p>
            <w:pPr>
              <w:spacing w:after="0"/>
            </w:pPr>
            <w:r>
              <w:rPr>
                <w:rFonts w:ascii="Calibri" w:hAnsi="Calibri"/>
                <w:color w:val="15243A"/>
                <w:sz w:val="16"/>
              </w:rPr>
              <w:t>Medium</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6"/>
              </w:rPr>
              <w:t>Scoped tokens, jobs, artifacts, events, clients, and service accounts</w:t>
            </w:r>
          </w:p>
        </w:tc>
      </w:tr>
    </w:tbl>
    <w:p>
      <w:pPr>
        <w:spacing w:after="0"/>
      </w:pPr>
    </w:p>
    <w:p>
      <w:pPr>
        <w:pStyle w:val="Heading1"/>
        <w:keepNext/>
      </w:pPr>
      <w:r>
        <w:t>5. Recommended release plan</w:t>
      </w:r>
    </w:p>
    <w:p>
      <w:pPr>
        <w:pStyle w:val="Heading2"/>
        <w:keepNext/>
      </w:pPr>
      <w:r>
        <w:t>Release A - Trustworthy daily driver (0-6 weeks)</w:t>
      </w:r>
    </w:p>
    <w:p>
      <w:r>
        <w:rPr>
          <w:rFonts w:ascii="Calibri" w:hAnsi="Calibri"/>
          <w:i w:val="0"/>
          <w:sz w:val="22"/>
        </w:rPr>
        <w:t>Goal: remove failure surprises, make common inputs easy, and protect the user's accumulated work.</w:t>
      </w:r>
    </w:p>
    <w:p>
      <w:pPr>
        <w:pStyle w:val="ListBullet"/>
      </w:pPr>
      <w:r>
        <w:rPr>
          <w:rFonts w:ascii="Calibri" w:hAnsi="Calibri"/>
          <w:sz w:val="22"/>
        </w:rPr>
        <w:t>F09 model readiness preflight with front-end mode gating and explicit fallback explanations.</w:t>
      </w:r>
    </w:p>
    <w:p>
      <w:pPr>
        <w:pStyle w:val="ListBullet"/>
      </w:pPr>
      <w:r>
        <w:rPr>
          <w:rFonts w:ascii="Calibri" w:hAnsi="Calibri"/>
          <w:sz w:val="22"/>
        </w:rPr>
        <w:t>F00 mode recipe launcher with 5-8 concrete prompt choices per mode, capability filtering, and an editable objective preview.</w:t>
      </w:r>
    </w:p>
    <w:p>
      <w:pPr>
        <w:pStyle w:val="ListBullet"/>
      </w:pPr>
      <w:r>
        <w:rPr>
          <w:rFonts w:ascii="Calibri" w:hAnsi="Calibri"/>
          <w:sz w:val="22"/>
        </w:rPr>
        <w:t>F01 file attachments for core text/PDF/image types with task-scoped retention choices.</w:t>
      </w:r>
    </w:p>
    <w:p>
      <w:pPr>
        <w:pStyle w:val="ListBullet"/>
      </w:pPr>
      <w:r>
        <w:rPr>
          <w:rFonts w:ascii="Calibri" w:hAnsi="Calibri"/>
          <w:sz w:val="22"/>
        </w:rPr>
        <w:t>F08 workspace test/build/lint setup UI plus real local coder file-edit validation.</w:t>
      </w:r>
    </w:p>
    <w:p>
      <w:pPr>
        <w:pStyle w:val="ListBullet"/>
      </w:pPr>
      <w:r>
        <w:rPr>
          <w:rFonts w:ascii="Calibri" w:hAnsi="Calibri"/>
          <w:sz w:val="22"/>
        </w:rPr>
        <w:t>F05 schedule execution MVP with run history, ownership, and notifications.</w:t>
      </w:r>
    </w:p>
    <w:p>
      <w:pPr>
        <w:pStyle w:val="ListBullet"/>
      </w:pPr>
      <w:r>
        <w:rPr>
          <w:rFonts w:ascii="Calibri" w:hAnsi="Calibri"/>
          <w:sz w:val="22"/>
        </w:rPr>
        <w:t>F11 backup/restore MVP and F45 redacted diagnostics bundle.</w:t>
      </w:r>
    </w:p>
    <w:p>
      <w:pPr>
        <w:pStyle w:val="ListBullet"/>
      </w:pPr>
      <w:r>
        <w:rPr>
          <w:rFonts w:ascii="Calibri" w:hAnsi="Calibri"/>
          <w:sz w:val="22"/>
        </w:rPr>
        <w:t>Finish the current UI/a11y gaps that undermine confidence: save feedback, theme state, mode-switch safety, diff/terminal verification, and mouse/keyboard parity.</w:t>
      </w:r>
    </w:p>
    <w:p>
      <w:pPr>
        <w:spacing w:before="80" w:after="200"/>
        <w:ind w:left="115" w:right="115"/>
        <w:shd w:fill="F4F6F9"/>
        <w:pBdr>
          <w:left w:val="single" w:sz="18" w:space="8" w:color="2E74B5"/>
        </w:pBdr>
      </w:pPr>
      <w:r>
        <w:rPr>
          <w:rFonts w:ascii="Calibri" w:hAnsi="Calibri"/>
          <w:b/>
          <w:color w:val="2E74B5"/>
          <w:sz w:val="18"/>
        </w:rPr>
        <w:t xml:space="preserve">RELEASE GATE  </w:t>
      </w:r>
      <w:r>
        <w:rPr>
          <w:rFonts w:ascii="Calibri" w:hAnsi="Calibri"/>
          <w:color w:val="15243A"/>
          <w:sz w:val="21"/>
        </w:rPr>
        <w:t>A new user can install Rasputin, connect or deploy one model, add a workspace, attach a file, complete one useful task, schedule a repeat run, and restore a backup without reading source documentation.</w:t>
      </w:r>
    </w:p>
    <w:p>
      <w:pPr>
        <w:pStyle w:val="Heading2"/>
        <w:keepNext/>
      </w:pPr>
      <w:r>
        <w:t>Release B - Work product engine (6-16 weeks)</w:t>
      </w:r>
    </w:p>
    <w:p>
      <w:r>
        <w:rPr>
          <w:rFonts w:ascii="Calibri" w:hAnsi="Calibri"/>
          <w:i w:val="0"/>
          <w:sz w:val="22"/>
        </w:rPr>
        <w:t>Goal: make Rasputin a place where complete deliverables and repeatable workflows are created.</w:t>
      </w:r>
    </w:p>
    <w:p>
      <w:pPr>
        <w:pStyle w:val="ListBullet"/>
      </w:pPr>
      <w:r>
        <w:rPr>
          <w:rFonts w:ascii="Calibri" w:hAnsi="Calibri"/>
          <w:sz w:val="22"/>
        </w:rPr>
        <w:t>F02 Artifact Studio for Markdown, DOCX, PDF, CSV/XLSX, HTML, and patch bundles.</w:t>
      </w:r>
    </w:p>
    <w:p>
      <w:pPr>
        <w:pStyle w:val="ListBullet"/>
      </w:pPr>
      <w:r>
        <w:rPr>
          <w:rFonts w:ascii="Calibri" w:hAnsi="Calibri"/>
          <w:sz w:val="22"/>
        </w:rPr>
        <w:t>F03 watched folders and F04 evidence-grade research projects.</w:t>
      </w:r>
    </w:p>
    <w:p>
      <w:pPr>
        <w:pStyle w:val="ListBullet"/>
      </w:pPr>
      <w:r>
        <w:rPr>
          <w:rFonts w:ascii="Calibri" w:hAnsi="Calibri"/>
          <w:sz w:val="22"/>
        </w:rPr>
        <w:t>F06 production connector contract with one complete email/calendar provider and one drive provider.</w:t>
      </w:r>
    </w:p>
    <w:p>
      <w:pPr>
        <w:pStyle w:val="ListBullet"/>
      </w:pPr>
      <w:r>
        <w:rPr>
          <w:rFonts w:ascii="Calibri" w:hAnsi="Calibri"/>
          <w:sz w:val="22"/>
        </w:rPr>
        <w:t>F10 continuous evaluation suites and release gates.</w:t>
      </w:r>
    </w:p>
    <w:p>
      <w:pPr>
        <w:pStyle w:val="ListBullet"/>
      </w:pPr>
      <w:r>
        <w:rPr>
          <w:rFonts w:ascii="Calibri" w:hAnsi="Calibri"/>
          <w:sz w:val="22"/>
        </w:rPr>
        <w:t>F13 templates, F14 artifact provenance, F20 structured intake, and F42 private skill/workflow registry.</w:t>
      </w:r>
    </w:p>
    <w:p>
      <w:pPr>
        <w:spacing w:before="80" w:after="200"/>
        <w:ind w:left="115" w:right="115"/>
        <w:shd w:fill="F4F6F9"/>
        <w:pBdr>
          <w:left w:val="single" w:sz="18" w:space="8" w:color="2E74B5"/>
        </w:pBdr>
      </w:pPr>
      <w:r>
        <w:rPr>
          <w:rFonts w:ascii="Calibri" w:hAnsi="Calibri"/>
          <w:b/>
          <w:color w:val="2E74B5"/>
          <w:sz w:val="18"/>
        </w:rPr>
        <w:t xml:space="preserve">RELEASE GATE  </w:t>
      </w:r>
      <w:r>
        <w:rPr>
          <w:rFonts w:ascii="Calibri" w:hAnsi="Calibri"/>
          <w:color w:val="15243A"/>
          <w:sz w:val="21"/>
        </w:rPr>
        <w:t>Three reference workflows run end to end: research source to cited brief, meeting inputs to follow-up package, and issue to tested patch. Each produces a reviewable artifact and an audit trail.</w:t>
      </w:r>
    </w:p>
    <w:p>
      <w:pPr>
        <w:pStyle w:val="Heading2"/>
        <w:keepNext/>
      </w:pPr>
      <w:r>
        <w:t>Release C - Connected private operations (4-8 months)</w:t>
      </w:r>
    </w:p>
    <w:p>
      <w:r>
        <w:rPr>
          <w:rFonts w:ascii="Calibri" w:hAnsi="Calibri"/>
          <w:i w:val="0"/>
          <w:sz w:val="22"/>
        </w:rPr>
        <w:t>Goal: expand from an individual workbench to a governed team automation appliance.</w:t>
      </w:r>
    </w:p>
    <w:p>
      <w:pPr>
        <w:pStyle w:val="ListBullet"/>
      </w:pPr>
      <w:r>
        <w:rPr>
          <w:rFonts w:ascii="Calibri" w:hAnsi="Calibri"/>
          <w:sz w:val="22"/>
        </w:rPr>
        <w:t>F07 connector packs, F12 team hubs, F21 visual workflows, F22 event triggers, and F23 approval policies.</w:t>
      </w:r>
    </w:p>
    <w:p>
      <w:pPr>
        <w:pStyle w:val="ListBullet"/>
      </w:pPr>
      <w:r>
        <w:rPr>
          <w:rFonts w:ascii="Calibri" w:hAnsi="Calibri"/>
          <w:sz w:val="22"/>
        </w:rPr>
        <w:t>F15 OCR, F16 voice, F17 vision, F24 browser sandbox, and F39 mobile/PWA approvals.</w:t>
      </w:r>
    </w:p>
    <w:p>
      <w:pPr>
        <w:pStyle w:val="ListBullet"/>
      </w:pPr>
      <w:r>
        <w:rPr>
          <w:rFonts w:ascii="Calibri" w:hAnsi="Calibri"/>
          <w:sz w:val="22"/>
        </w:rPr>
        <w:t>F31 resource scheduling, F34 secrets vault, F38 value dashboards, and F47 accessibility/localization program.</w:t>
      </w:r>
    </w:p>
    <w:p>
      <w:pPr>
        <w:spacing w:before="80" w:after="200"/>
        <w:ind w:left="115" w:right="115"/>
        <w:shd w:fill="F4F6F9"/>
        <w:pBdr>
          <w:left w:val="single" w:sz="18" w:space="8" w:color="2E74B5"/>
        </w:pBdr>
      </w:pPr>
      <w:r>
        <w:rPr>
          <w:rFonts w:ascii="Calibri" w:hAnsi="Calibri"/>
          <w:b/>
          <w:color w:val="2E74B5"/>
          <w:sz w:val="18"/>
        </w:rPr>
        <w:t xml:space="preserve">RELEASE GATE  </w:t>
      </w:r>
      <w:r>
        <w:rPr>
          <w:rFonts w:ascii="Calibri" w:hAnsi="Calibri"/>
          <w:color w:val="15243A"/>
          <w:sz w:val="21"/>
        </w:rPr>
        <w:t>A small team can operate a shared workspace with separate identities, governed connectors, recurring workflows, review and approval, and measurable local-model value.</w:t>
      </w:r>
    </w:p>
    <w:p>
      <w:pPr>
        <w:pStyle w:val="Heading2"/>
        <w:keepNext/>
      </w:pPr>
      <w:r>
        <w:t>Release D - Ecosystem and enterprise readiness (8-12 months)</w:t>
      </w:r>
    </w:p>
    <w:p>
      <w:r>
        <w:rPr>
          <w:rFonts w:ascii="Calibri" w:hAnsi="Calibri"/>
          <w:i w:val="0"/>
          <w:sz w:val="22"/>
        </w:rPr>
        <w:t>Goal: make Rasputin extensible and operable across larger or more regulated deployments.</w:t>
      </w:r>
    </w:p>
    <w:p>
      <w:pPr>
        <w:pStyle w:val="ListBullet"/>
      </w:pPr>
      <w:r>
        <w:rPr>
          <w:rFonts w:ascii="Calibri" w:hAnsi="Calibri"/>
          <w:sz w:val="22"/>
        </w:rPr>
        <w:t>F33 fleet management, F35 policy packs, F36 SIEM export, F37 SSO/LDAP, and F44 update channels.</w:t>
      </w:r>
    </w:p>
    <w:p>
      <w:pPr>
        <w:pStyle w:val="ListBullet"/>
      </w:pPr>
      <w:r>
        <w:rPr>
          <w:rFonts w:ascii="Calibri" w:hAnsi="Calibri"/>
          <w:sz w:val="22"/>
        </w:rPr>
        <w:t>F41 plugin SDK, F43 vertical packs, and F48 headless API/service accounts.</w:t>
      </w:r>
    </w:p>
    <w:p>
      <w:pPr>
        <w:pStyle w:val="ListBullet"/>
      </w:pPr>
      <w:r>
        <w:rPr>
          <w:rFonts w:ascii="Calibri" w:hAnsi="Calibri"/>
          <w:sz w:val="22"/>
        </w:rPr>
        <w:t>Disaster recovery drills, signed releases, migration certification, and long-duration reliability testing.</w:t>
      </w:r>
    </w:p>
    <w:p>
      <w:pPr>
        <w:pStyle w:val="Heading1"/>
        <w:keepNext/>
      </w:pPr>
      <w:r>
        <w:t>6. Reference workflows to design around</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start w:w="120" w:type="dxa"/>
              <w:bottom w:w="80" w:type="dxa"/>
              <w:end w:w="120" w:type="dxa"/>
            </w:tcMar>
            <w:vAlign w:val="center"/>
          </w:tcPr>
          <w:p>
            <w:pPr>
              <w:spacing w:after="0"/>
              <w:jc w:val="left"/>
            </w:pPr>
            <w:r>
              <w:rPr>
                <w:rFonts w:ascii="Calibri" w:hAnsi="Calibri"/>
                <w:b/>
                <w:color w:val="15243A"/>
                <w:sz w:val="18"/>
              </w:rPr>
              <w:t>Reference workflow</w:t>
            </w:r>
          </w:p>
        </w:tc>
        <w:tc>
          <w:tcPr>
            <w:tcW w:type="dxa" w:w="6960"/>
            <w:shd w:fill="E8EEF5"/>
            <w:tcMar>
              <w:top w:w="80" w:type="dxa"/>
              <w:start w:w="120" w:type="dxa"/>
              <w:bottom w:w="80" w:type="dxa"/>
              <w:end w:w="120" w:type="dxa"/>
            </w:tcMar>
            <w:vAlign w:val="center"/>
          </w:tcPr>
          <w:p>
            <w:pPr>
              <w:spacing w:after="0"/>
              <w:jc w:val="left"/>
            </w:pPr>
            <w:r>
              <w:rPr>
                <w:rFonts w:ascii="Calibri" w:hAnsi="Calibri"/>
                <w:b/>
                <w:color w:val="15243A"/>
                <w:sz w:val="18"/>
              </w:rPr>
              <w:t>End-to-end product loop</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5243A"/>
                <w:sz w:val="18"/>
              </w:rPr>
              <w:t>Private research brief</w:t>
            </w:r>
          </w:p>
        </w:tc>
        <w:tc>
          <w:tcPr>
            <w:tcW w:type="dxa" w:w="6960"/>
            <w:tcMar>
              <w:top w:w="80" w:type="dxa"/>
              <w:start w:w="120" w:type="dxa"/>
              <w:bottom w:w="80" w:type="dxa"/>
              <w:end w:w="120" w:type="dxa"/>
            </w:tcMar>
            <w:vAlign w:val="center"/>
          </w:tcPr>
          <w:p>
            <w:pPr>
              <w:spacing w:after="0"/>
            </w:pPr>
            <w:r>
              <w:rPr>
                <w:rFonts w:ascii="Calibri" w:hAnsi="Calibri"/>
                <w:color w:val="15243A"/>
                <w:sz w:val="18"/>
              </w:rPr>
              <w:t>Attach PDFs and URLs -&gt; extract/OCR -&gt; save sources -&gt; research with citations -&gt; review claims -&gt; export DOCX/PDF -&gt; archive evidence snapshot</w:t>
            </w:r>
          </w:p>
        </w:tc>
      </w:tr>
      <w:tr>
        <w:trPr>
          <w:cantSplit/>
        </w:trPr>
        <w:tc>
          <w:tcPr>
            <w:tcW w:type="dxa" w:w="2400"/>
            <w:shd w:fill="FAFBFC"/>
            <w:tcMar>
              <w:top w:w="80" w:type="dxa"/>
              <w:start w:w="120" w:type="dxa"/>
              <w:bottom w:w="80" w:type="dxa"/>
              <w:end w:w="120" w:type="dxa"/>
            </w:tcMar>
            <w:vAlign w:val="center"/>
          </w:tcPr>
          <w:p>
            <w:pPr>
              <w:spacing w:after="0"/>
            </w:pPr>
            <w:r>
              <w:rPr>
                <w:rFonts w:ascii="Calibri" w:hAnsi="Calibri"/>
                <w:color w:val="15243A"/>
                <w:sz w:val="18"/>
              </w:rPr>
              <w:t>Issue to tested patch</w:t>
            </w:r>
          </w:p>
        </w:tc>
        <w:tc>
          <w:tcPr>
            <w:tcW w:type="dxa" w:w="6960"/>
            <w:shd w:fill="FAFBFC"/>
            <w:tcMar>
              <w:top w:w="80" w:type="dxa"/>
              <w:start w:w="120" w:type="dxa"/>
              <w:bottom w:w="80" w:type="dxa"/>
              <w:end w:w="120" w:type="dxa"/>
            </w:tcMar>
            <w:vAlign w:val="center"/>
          </w:tcPr>
          <w:p>
            <w:pPr>
              <w:spacing w:after="0"/>
            </w:pPr>
            <w:r>
              <w:rPr>
                <w:rFonts w:ascii="Calibri" w:hAnsi="Calibri"/>
                <w:color w:val="15243A"/>
                <w:sz w:val="18"/>
              </w:rPr>
              <w:t>Import issue -&gt; inspect repo -&gt; plan -&gt; edit in isolated branch/worktree -&gt; run configured checks -&gt; review diff -&gt; draft commit/PR -&gt; human publishes</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5243A"/>
                <w:sz w:val="18"/>
              </w:rPr>
              <w:t>Morning operations briefing</w:t>
            </w:r>
          </w:p>
        </w:tc>
        <w:tc>
          <w:tcPr>
            <w:tcW w:type="dxa" w:w="6960"/>
            <w:tcMar>
              <w:top w:w="80" w:type="dxa"/>
              <w:start w:w="120" w:type="dxa"/>
              <w:bottom w:w="80" w:type="dxa"/>
              <w:end w:w="120" w:type="dxa"/>
            </w:tcMar>
            <w:vAlign w:val="center"/>
          </w:tcPr>
          <w:p>
            <w:pPr>
              <w:spacing w:after="0"/>
            </w:pPr>
            <w:r>
              <w:rPr>
                <w:rFonts w:ascii="Calibri" w:hAnsi="Calibri"/>
                <w:color w:val="15243A"/>
                <w:sz w:val="18"/>
              </w:rPr>
              <w:t>Scheduled trigger -&gt; read approved mail/calendar/tasks -&gt; summarize priorities -&gt; draft replies -&gt; produce briefing artifact -&gt; notify phone -&gt; human approves sends</w:t>
            </w:r>
          </w:p>
        </w:tc>
      </w:tr>
      <w:tr>
        <w:trPr>
          <w:cantSplit/>
        </w:trPr>
        <w:tc>
          <w:tcPr>
            <w:tcW w:type="dxa" w:w="2400"/>
            <w:shd w:fill="FAFBFC"/>
            <w:tcMar>
              <w:top w:w="80" w:type="dxa"/>
              <w:start w:w="120" w:type="dxa"/>
              <w:bottom w:w="80" w:type="dxa"/>
              <w:end w:w="120" w:type="dxa"/>
            </w:tcMar>
            <w:vAlign w:val="center"/>
          </w:tcPr>
          <w:p>
            <w:pPr>
              <w:spacing w:after="0"/>
            </w:pPr>
            <w:r>
              <w:rPr>
                <w:rFonts w:ascii="Calibri" w:hAnsi="Calibri"/>
                <w:color w:val="15243A"/>
                <w:sz w:val="18"/>
              </w:rPr>
              <w:t>Policy library assistant</w:t>
            </w:r>
          </w:p>
        </w:tc>
        <w:tc>
          <w:tcPr>
            <w:tcW w:type="dxa" w:w="6960"/>
            <w:shd w:fill="FAFBFC"/>
            <w:tcMar>
              <w:top w:w="80" w:type="dxa"/>
              <w:start w:w="120" w:type="dxa"/>
              <w:bottom w:w="80" w:type="dxa"/>
              <w:end w:w="120" w:type="dxa"/>
            </w:tcMar>
            <w:vAlign w:val="center"/>
          </w:tcPr>
          <w:p>
            <w:pPr>
              <w:spacing w:after="0"/>
            </w:pPr>
            <w:r>
              <w:rPr>
                <w:rFonts w:ascii="Calibri" w:hAnsi="Calibri"/>
                <w:color w:val="15243A"/>
                <w:sz w:val="18"/>
              </w:rPr>
              <w:t>Watch controlled folders -&gt; index changes -&gt; flag stale/conflicting policy -&gt; answer with source and freshness -&gt; route update for owner approval</w:t>
            </w:r>
          </w:p>
        </w:tc>
      </w:tr>
      <w:tr>
        <w:trPr>
          <w:cantSplit/>
        </w:trPr>
        <w:tc>
          <w:tcPr>
            <w:tcW w:type="dxa" w:w="2400"/>
            <w:tcMar>
              <w:top w:w="80" w:type="dxa"/>
              <w:start w:w="120" w:type="dxa"/>
              <w:bottom w:w="80" w:type="dxa"/>
              <w:end w:w="120" w:type="dxa"/>
            </w:tcMar>
            <w:vAlign w:val="center"/>
          </w:tcPr>
          <w:p>
            <w:pPr>
              <w:spacing w:after="0"/>
            </w:pPr>
            <w:r>
              <w:rPr>
                <w:rFonts w:ascii="Calibri" w:hAnsi="Calibri"/>
                <w:color w:val="15243A"/>
                <w:sz w:val="18"/>
              </w:rPr>
              <w:t>Local model qualification</w:t>
            </w:r>
          </w:p>
        </w:tc>
        <w:tc>
          <w:tcPr>
            <w:tcW w:type="dxa" w:w="6960"/>
            <w:tcMar>
              <w:top w:w="80" w:type="dxa"/>
              <w:start w:w="120" w:type="dxa"/>
              <w:bottom w:w="80" w:type="dxa"/>
              <w:end w:w="120" w:type="dxa"/>
            </w:tcMar>
            <w:vAlign w:val="center"/>
          </w:tcPr>
          <w:p>
            <w:pPr>
              <w:spacing w:after="0"/>
            </w:pPr>
            <w:r>
              <w:rPr>
                <w:rFonts w:ascii="Calibri" w:hAnsi="Calibri"/>
                <w:color w:val="15243A"/>
                <w:sz w:val="18"/>
              </w:rPr>
              <w:t>Discover/deploy model -&gt; readiness tests -&gt; coding/research evaluation suite -&gt; compare scorecards -&gt; pin verified role -&gt; monitor regressions</w:t>
            </w:r>
          </w:p>
        </w:tc>
      </w:tr>
      <w:tr>
        <w:trPr>
          <w:cantSplit/>
        </w:trPr>
        <w:tc>
          <w:tcPr>
            <w:tcW w:type="dxa" w:w="2400"/>
            <w:shd w:fill="FAFBFC"/>
            <w:tcMar>
              <w:top w:w="80" w:type="dxa"/>
              <w:start w:w="120" w:type="dxa"/>
              <w:bottom w:w="80" w:type="dxa"/>
              <w:end w:w="120" w:type="dxa"/>
            </w:tcMar>
            <w:vAlign w:val="center"/>
          </w:tcPr>
          <w:p>
            <w:pPr>
              <w:spacing w:after="0"/>
            </w:pPr>
            <w:r>
              <w:rPr>
                <w:rFonts w:ascii="Calibri" w:hAnsi="Calibri"/>
                <w:color w:val="15243A"/>
                <w:sz w:val="18"/>
              </w:rPr>
              <w:t>Incident response packet</w:t>
            </w:r>
          </w:p>
        </w:tc>
        <w:tc>
          <w:tcPr>
            <w:tcW w:type="dxa" w:w="6960"/>
            <w:shd w:fill="FAFBFC"/>
            <w:tcMar>
              <w:top w:w="80" w:type="dxa"/>
              <w:start w:w="120" w:type="dxa"/>
              <w:bottom w:w="80" w:type="dxa"/>
              <w:end w:w="120" w:type="dxa"/>
            </w:tcMar>
            <w:vAlign w:val="center"/>
          </w:tcPr>
          <w:p>
            <w:pPr>
              <w:spacing w:after="0"/>
            </w:pPr>
            <w:r>
              <w:rPr>
                <w:rFonts w:ascii="Calibri" w:hAnsi="Calibri"/>
                <w:color w:val="15243A"/>
                <w:sz w:val="18"/>
              </w:rPr>
              <w:t>Webhook/event trigger -&gt; gather logs and runbooks -&gt; open task -&gt; request risky actions -&gt; timeline evidence -&gt; remediation checklist -&gt; postmortem artifact</w:t>
            </w:r>
          </w:p>
        </w:tc>
      </w:tr>
    </w:tbl>
    <w:p>
      <w:pPr>
        <w:spacing w:after="0"/>
      </w:pPr>
    </w:p>
    <w:p>
      <w:pPr>
        <w:pStyle w:val="Heading2"/>
        <w:keepNext/>
      </w:pPr>
      <w:r>
        <w:t>Design requirements shared by every workflow</w:t>
      </w:r>
    </w:p>
    <w:p>
      <w:pPr>
        <w:pStyle w:val="ListBullet"/>
      </w:pPr>
      <w:r>
        <w:rPr>
          <w:rFonts w:ascii="Calibri" w:hAnsi="Calibri"/>
          <w:sz w:val="22"/>
        </w:rPr>
        <w:t>A visible beginning, current state, next action, and completion definition.</w:t>
      </w:r>
    </w:p>
    <w:p>
      <w:pPr>
        <w:pStyle w:val="ListBullet"/>
      </w:pPr>
      <w:r>
        <w:rPr>
          <w:rFonts w:ascii="Calibri" w:hAnsi="Calibri"/>
          <w:sz w:val="22"/>
        </w:rPr>
        <w:t>Progress events that explain tool use without forcing the user to read raw logs.</w:t>
      </w:r>
    </w:p>
    <w:p>
      <w:pPr>
        <w:pStyle w:val="ListBullet"/>
      </w:pPr>
      <w:r>
        <w:rPr>
          <w:rFonts w:ascii="Calibri" w:hAnsi="Calibri"/>
          <w:sz w:val="22"/>
        </w:rPr>
        <w:t>Capability and permission preflight before expensive or long-running work.</w:t>
      </w:r>
    </w:p>
    <w:p>
      <w:pPr>
        <w:pStyle w:val="ListBullet"/>
      </w:pPr>
      <w:r>
        <w:rPr>
          <w:rFonts w:ascii="Calibri" w:hAnsi="Calibri"/>
          <w:sz w:val="22"/>
        </w:rPr>
        <w:t>Reviewable output with provenance, versioning, and a clear path to revise or undo.</w:t>
      </w:r>
    </w:p>
    <w:p>
      <w:pPr>
        <w:pStyle w:val="ListBullet"/>
      </w:pPr>
      <w:r>
        <w:rPr>
          <w:rFonts w:ascii="Calibri" w:hAnsi="Calibri"/>
          <w:sz w:val="22"/>
        </w:rPr>
        <w:t>Failure recovery that preserves context and offers a safe retry, alternative model, or manual handoff.</w:t>
      </w:r>
    </w:p>
    <w:p>
      <w:pPr>
        <w:pStyle w:val="ListBullet"/>
      </w:pPr>
      <w:r>
        <w:rPr>
          <w:rFonts w:ascii="Calibri" w:hAnsi="Calibri"/>
          <w:sz w:val="22"/>
        </w:rPr>
        <w:t>Runtime transparency: local versus cloud model, data boundary, connector identity, and resource impact.</w:t>
      </w:r>
    </w:p>
    <w:p>
      <w:pPr>
        <w:pStyle w:val="Heading1"/>
        <w:keepNext/>
      </w:pPr>
      <w:r>
        <w:t>7. Architectural enablers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243A"/>
                <w:sz w:val="17"/>
              </w:rPr>
              <w:t>Enabler</w:t>
            </w:r>
          </w:p>
        </w:tc>
        <w:tc>
          <w:tcPr>
            <w:tcW w:type="dxa" w:w="3000"/>
            <w:shd w:fill="E8EEF5"/>
            <w:tcMar>
              <w:top w:w="80" w:type="dxa"/>
              <w:start w:w="120" w:type="dxa"/>
              <w:bottom w:w="80" w:type="dxa"/>
              <w:end w:w="120" w:type="dxa"/>
            </w:tcMar>
            <w:vAlign w:val="center"/>
          </w:tcPr>
          <w:p>
            <w:pPr>
              <w:spacing w:after="0"/>
              <w:jc w:val="left"/>
            </w:pPr>
            <w:r>
              <w:rPr>
                <w:rFonts w:ascii="Calibri" w:hAnsi="Calibri"/>
                <w:b/>
                <w:color w:val="15243A"/>
                <w:sz w:val="17"/>
              </w:rPr>
              <w:t>Why it matters</w:t>
            </w:r>
          </w:p>
        </w:tc>
        <w:tc>
          <w:tcPr>
            <w:tcW w:type="dxa" w:w="4460"/>
            <w:shd w:fill="E8EEF5"/>
            <w:tcMar>
              <w:top w:w="80" w:type="dxa"/>
              <w:start w:w="120" w:type="dxa"/>
              <w:bottom w:w="80" w:type="dxa"/>
              <w:end w:w="120" w:type="dxa"/>
            </w:tcMar>
            <w:vAlign w:val="center"/>
          </w:tcPr>
          <w:p>
            <w:pPr>
              <w:spacing w:after="0"/>
              <w:jc w:val="left"/>
            </w:pPr>
            <w:r>
              <w:rPr>
                <w:rFonts w:ascii="Calibri" w:hAnsi="Calibri"/>
                <w:b/>
                <w:color w:val="15243A"/>
                <w:sz w:val="17"/>
              </w:rPr>
              <w:t>Implementation direction</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Unified capability registry</w:t>
            </w:r>
          </w:p>
        </w:tc>
        <w:tc>
          <w:tcPr>
            <w:tcW w:type="dxa" w:w="3000"/>
            <w:tcMar>
              <w:top w:w="80" w:type="dxa"/>
              <w:start w:w="120" w:type="dxa"/>
              <w:bottom w:w="80" w:type="dxa"/>
              <w:end w:w="120" w:type="dxa"/>
            </w:tcMar>
            <w:vAlign w:val="center"/>
          </w:tcPr>
          <w:p>
            <w:pPr>
              <w:spacing w:after="0"/>
            </w:pPr>
            <w:r>
              <w:rPr>
                <w:rFonts w:ascii="Calibri" w:hAnsi="Calibri"/>
                <w:color w:val="15243A"/>
                <w:sz w:val="17"/>
              </w:rPr>
              <w:t>Modes, tools, formats, and connectors need one source of truth</w:t>
            </w:r>
          </w:p>
        </w:tc>
        <w:tc>
          <w:tcPr>
            <w:tcW w:type="dxa" w:w="4460"/>
            <w:tcMar>
              <w:top w:w="80" w:type="dxa"/>
              <w:start w:w="120" w:type="dxa"/>
              <w:bottom w:w="80" w:type="dxa"/>
              <w:end w:w="120" w:type="dxa"/>
            </w:tcMar>
            <w:vAlign w:val="center"/>
          </w:tcPr>
          <w:p>
            <w:pPr>
              <w:spacing w:after="0"/>
            </w:pPr>
            <w:r>
              <w:rPr>
                <w:rFonts w:ascii="Calibri" w:hAnsi="Calibri"/>
                <w:color w:val="15243A"/>
                <w:sz w:val="17"/>
              </w:rPr>
              <w:t>Persist verified model/runtime/tool capabilities with timestamps and test evidence; expose them to UI and router</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Typed artifact system</w:t>
            </w:r>
          </w:p>
        </w:tc>
        <w:tc>
          <w:tcPr>
            <w:tcW w:type="dxa" w:w="3000"/>
            <w:shd w:fill="FAFBFC"/>
            <w:tcMar>
              <w:top w:w="80" w:type="dxa"/>
              <w:start w:w="120" w:type="dxa"/>
              <w:bottom w:w="80" w:type="dxa"/>
              <w:end w:w="120" w:type="dxa"/>
            </w:tcMar>
            <w:vAlign w:val="center"/>
          </w:tcPr>
          <w:p>
            <w:pPr>
              <w:spacing w:after="0"/>
            </w:pPr>
            <w:r>
              <w:rPr>
                <w:rFonts w:ascii="Calibri" w:hAnsi="Calibri"/>
                <w:color w:val="15243A"/>
                <w:sz w:val="17"/>
              </w:rPr>
              <w:t>Every use case needs durable outputs</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Separate artifact metadata, source, versions, binary storage, preview renderer, provenance, and export adapters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Trigger and workflow runtime</w:t>
            </w:r>
          </w:p>
        </w:tc>
        <w:tc>
          <w:tcPr>
            <w:tcW w:type="dxa" w:w="3000"/>
            <w:tcMar>
              <w:top w:w="80" w:type="dxa"/>
              <w:start w:w="120" w:type="dxa"/>
              <w:bottom w:w="80" w:type="dxa"/>
              <w:end w:w="120" w:type="dxa"/>
            </w:tcMar>
            <w:vAlign w:val="center"/>
          </w:tcPr>
          <w:p>
            <w:pPr>
              <w:spacing w:after="0"/>
            </w:pPr>
            <w:r>
              <w:rPr>
                <w:rFonts w:ascii="Calibri" w:hAnsi="Calibri"/>
                <w:color w:val="15243A"/>
                <w:sz w:val="17"/>
              </w:rPr>
              <w:t>Schedules alone do not create dependable automation</w:t>
            </w:r>
          </w:p>
        </w:tc>
        <w:tc>
          <w:tcPr>
            <w:tcW w:type="dxa" w:w="4460"/>
            <w:tcMar>
              <w:top w:w="80" w:type="dxa"/>
              <w:start w:w="120" w:type="dxa"/>
              <w:bottom w:w="80" w:type="dxa"/>
              <w:end w:w="120" w:type="dxa"/>
            </w:tcMar>
            <w:vAlign w:val="center"/>
          </w:tcPr>
          <w:p>
            <w:pPr>
              <w:spacing w:after="0"/>
            </w:pPr>
            <w:r>
              <w:rPr>
                <w:rFonts w:ascii="Calibri" w:hAnsi="Calibri"/>
                <w:color w:val="15243A"/>
                <w:sz w:val="17"/>
              </w:rPr>
              <w:t>Event envelope, idempotency, retries, state machine, approvals, budgets, and delivery steps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Connector contract</w:t>
            </w:r>
          </w:p>
        </w:tc>
        <w:tc>
          <w:tcPr>
            <w:tcW w:type="dxa" w:w="3000"/>
            <w:shd w:fill="FAFBFC"/>
            <w:tcMar>
              <w:top w:w="80" w:type="dxa"/>
              <w:start w:w="120" w:type="dxa"/>
              <w:bottom w:w="80" w:type="dxa"/>
              <w:end w:w="120" w:type="dxa"/>
            </w:tcMar>
            <w:vAlign w:val="center"/>
          </w:tcPr>
          <w:p>
            <w:pPr>
              <w:spacing w:after="0"/>
            </w:pPr>
            <w:r>
              <w:rPr>
                <w:rFonts w:ascii="Calibri" w:hAnsi="Calibri"/>
                <w:color w:val="15243A"/>
                <w:sz w:val="17"/>
              </w:rPr>
              <w:t>Integrations otherwise become bespoke and unsafe</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Common verbs, schemas, scopes, test fixtures, token lifecycle, policy hooks, and audit events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Policy decision layer</w:t>
            </w:r>
          </w:p>
        </w:tc>
        <w:tc>
          <w:tcPr>
            <w:tcW w:type="dxa" w:w="3000"/>
            <w:tcMar>
              <w:top w:w="80" w:type="dxa"/>
              <w:start w:w="120" w:type="dxa"/>
              <w:bottom w:w="80" w:type="dxa"/>
              <w:end w:w="120" w:type="dxa"/>
            </w:tcMar>
            <w:vAlign w:val="center"/>
          </w:tcPr>
          <w:p>
            <w:pPr>
              <w:spacing w:after="0"/>
            </w:pPr>
            <w:r>
              <w:rPr>
                <w:rFonts w:ascii="Calibri" w:hAnsi="Calibri"/>
                <w:color w:val="15243A"/>
                <w:sz w:val="17"/>
              </w:rPr>
              <w:t>More actions increase risk faster than value without consistent governance</w:t>
            </w:r>
          </w:p>
        </w:tc>
        <w:tc>
          <w:tcPr>
            <w:tcW w:type="dxa" w:w="4460"/>
            <w:tcMar>
              <w:top w:w="80" w:type="dxa"/>
              <w:start w:w="120" w:type="dxa"/>
              <w:bottom w:w="80" w:type="dxa"/>
              <w:end w:w="120" w:type="dxa"/>
            </w:tcMar>
            <w:vAlign w:val="center"/>
          </w:tcPr>
          <w:p>
            <w:pPr>
              <w:spacing w:after="0"/>
            </w:pPr>
            <w:r>
              <w:rPr>
                <w:rFonts w:ascii="Calibri" w:hAnsi="Calibri"/>
                <w:color w:val="15243A"/>
                <w:sz w:val="17"/>
              </w:rPr>
              <w:t>Resolve user, workspace, tool, connector, data class, and action risk before execution</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Background job isolation</w:t>
            </w:r>
          </w:p>
        </w:tc>
        <w:tc>
          <w:tcPr>
            <w:tcW w:type="dxa" w:w="3000"/>
            <w:shd w:fill="FAFBFC"/>
            <w:tcMar>
              <w:top w:w="80" w:type="dxa"/>
              <w:start w:w="120" w:type="dxa"/>
              <w:bottom w:w="80" w:type="dxa"/>
              <w:end w:w="120" w:type="dxa"/>
            </w:tcMar>
            <w:vAlign w:val="center"/>
          </w:tcPr>
          <w:p>
            <w:pPr>
              <w:spacing w:after="0"/>
            </w:pPr>
            <w:r>
              <w:rPr>
                <w:rFonts w:ascii="Calibri" w:hAnsi="Calibri"/>
                <w:color w:val="15243A"/>
                <w:sz w:val="17"/>
              </w:rPr>
              <w:t>OCR, indexing, exports, evaluations, and backups compete with models</w:t>
            </w:r>
          </w:p>
        </w:tc>
        <w:tc>
          <w:tcPr>
            <w:tcW w:type="dxa" w:w="4460"/>
            <w:shd w:fill="FAFBFC"/>
            <w:tcMar>
              <w:top w:w="80" w:type="dxa"/>
              <w:start w:w="120" w:type="dxa"/>
              <w:bottom w:w="80" w:type="dxa"/>
              <w:end w:w="120" w:type="dxa"/>
            </w:tcMar>
            <w:vAlign w:val="center"/>
          </w:tcPr>
          <w:p>
            <w:pPr>
              <w:spacing w:after="0"/>
            </w:pPr>
            <w:r>
              <w:rPr>
                <w:rFonts w:ascii="Calibri" w:hAnsi="Calibri"/>
                <w:color w:val="15243A"/>
                <w:sz w:val="17"/>
              </w:rPr>
              <w:t>Prioritized queues, quotas, cancellation, progress, resource reservations, and restart recovery</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Schema and migration discipline</w:t>
            </w:r>
          </w:p>
        </w:tc>
        <w:tc>
          <w:tcPr>
            <w:tcW w:type="dxa" w:w="3000"/>
            <w:tcMar>
              <w:top w:w="80" w:type="dxa"/>
              <w:start w:w="120" w:type="dxa"/>
              <w:bottom w:w="80" w:type="dxa"/>
              <w:end w:w="120" w:type="dxa"/>
            </w:tcMar>
            <w:vAlign w:val="center"/>
          </w:tcPr>
          <w:p>
            <w:pPr>
              <w:spacing w:after="0"/>
            </w:pPr>
            <w:r>
              <w:rPr>
                <w:rFonts w:ascii="Calibri" w:hAnsi="Calibri"/>
                <w:color w:val="15243A"/>
                <w:sz w:val="17"/>
              </w:rPr>
              <w:t>Durable work makes upgrades high stakes</w:t>
            </w:r>
          </w:p>
        </w:tc>
        <w:tc>
          <w:tcPr>
            <w:tcW w:type="dxa" w:w="4460"/>
            <w:tcMar>
              <w:top w:w="80" w:type="dxa"/>
              <w:start w:w="120" w:type="dxa"/>
              <w:bottom w:w="80" w:type="dxa"/>
              <w:end w:w="120" w:type="dxa"/>
            </w:tcMar>
            <w:vAlign w:val="center"/>
          </w:tcPr>
          <w:p>
            <w:pPr>
              <w:spacing w:after="0"/>
            </w:pPr>
            <w:r>
              <w:rPr>
                <w:rFonts w:ascii="Calibri" w:hAnsi="Calibri"/>
                <w:color w:val="15243A"/>
                <w:sz w:val="17"/>
              </w:rPr>
              <w:t>Version every persisted object, migration tests, snapshots, restore compatibility, and rollback plans</w:t>
            </w:r>
          </w:p>
        </w:tc>
      </w:tr>
    </w:tbl>
    <w:p>
      <w:pPr>
        <w:spacing w:after="0"/>
      </w:pPr>
    </w:p>
    <w:p>
      <w:pPr>
        <w:pStyle w:val="Heading1"/>
        <w:keepNext/>
      </w:pPr>
      <w:r>
        <w:t>8. Product metrics</w:t>
      </w:r>
    </w:p>
    <w:tbl>
      <w:tblPr>
        <w:tblStyle w:val="TableGrid"/>
        <w:tblW w:type="dxa" w:w="9360"/>
        <w:jc w:val="left"/>
        <w:tblLayout w:type="fixed"/>
        <w:tblLook w:firstColumn="1" w:firstRow="1" w:lastColumn="0" w:lastRow="0" w:noHBand="0" w:noVBand="1" w:val="04A0"/>
        <w:tblInd w:w="120" w:type="dxa"/>
      </w:tblPr>
      <w:tblGrid>
        <w:gridCol w:w="2200"/>
        <w:gridCol w:w="3860"/>
        <w:gridCol w:w="330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rFonts w:ascii="Calibri" w:hAnsi="Calibri"/>
                <w:b/>
                <w:color w:val="15243A"/>
                <w:sz w:val="17"/>
              </w:rPr>
              <w:t>Metric</w:t>
            </w:r>
          </w:p>
        </w:tc>
        <w:tc>
          <w:tcPr>
            <w:tcW w:type="dxa" w:w="3860"/>
            <w:shd w:fill="E8EEF5"/>
            <w:tcMar>
              <w:top w:w="80" w:type="dxa"/>
              <w:start w:w="120" w:type="dxa"/>
              <w:bottom w:w="80" w:type="dxa"/>
              <w:end w:w="120" w:type="dxa"/>
            </w:tcMar>
            <w:vAlign w:val="center"/>
          </w:tcPr>
          <w:p>
            <w:pPr>
              <w:spacing w:after="0"/>
              <w:jc w:val="left"/>
            </w:pPr>
            <w:r>
              <w:rPr>
                <w:rFonts w:ascii="Calibri" w:hAnsi="Calibri"/>
                <w:b/>
                <w:color w:val="15243A"/>
                <w:sz w:val="17"/>
              </w:rPr>
              <w:t>Definition</w:t>
            </w:r>
          </w:p>
        </w:tc>
        <w:tc>
          <w:tcPr>
            <w:tcW w:type="dxa" w:w="3300"/>
            <w:shd w:fill="E8EEF5"/>
            <w:tcMar>
              <w:top w:w="80" w:type="dxa"/>
              <w:start w:w="120" w:type="dxa"/>
              <w:bottom w:w="80" w:type="dxa"/>
              <w:end w:w="120" w:type="dxa"/>
            </w:tcMar>
            <w:vAlign w:val="center"/>
          </w:tcPr>
          <w:p>
            <w:pPr>
              <w:spacing w:after="0"/>
              <w:jc w:val="left"/>
            </w:pPr>
            <w:r>
              <w:rPr>
                <w:rFonts w:ascii="Calibri" w:hAnsi="Calibri"/>
                <w:b/>
                <w:color w:val="15243A"/>
                <w:sz w:val="17"/>
              </w:rPr>
              <w:t>Why it matters</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Time to first useful outcome</w:t>
            </w:r>
          </w:p>
        </w:tc>
        <w:tc>
          <w:tcPr>
            <w:tcW w:type="dxa" w:w="3860"/>
            <w:tcMar>
              <w:top w:w="80" w:type="dxa"/>
              <w:start w:w="120" w:type="dxa"/>
              <w:bottom w:w="80" w:type="dxa"/>
              <w:end w:w="120" w:type="dxa"/>
            </w:tcMar>
            <w:vAlign w:val="center"/>
          </w:tcPr>
          <w:p>
            <w:pPr>
              <w:spacing w:after="0"/>
            </w:pPr>
            <w:r>
              <w:rPr>
                <w:rFonts w:ascii="Calibri" w:hAnsi="Calibri"/>
                <w:color w:val="15243A"/>
                <w:sz w:val="17"/>
              </w:rPr>
              <w:t>Install/login to first completed task with a saved result</w:t>
            </w:r>
          </w:p>
        </w:tc>
        <w:tc>
          <w:tcPr>
            <w:tcW w:type="dxa" w:w="3300"/>
            <w:tcMar>
              <w:top w:w="80" w:type="dxa"/>
              <w:start w:w="120" w:type="dxa"/>
              <w:bottom w:w="80" w:type="dxa"/>
              <w:end w:w="120" w:type="dxa"/>
            </w:tcMar>
            <w:vAlign w:val="center"/>
          </w:tcPr>
          <w:p>
            <w:pPr>
              <w:spacing w:after="0"/>
            </w:pPr>
            <w:r>
              <w:rPr>
                <w:rFonts w:ascii="Calibri" w:hAnsi="Calibri"/>
                <w:color w:val="15243A"/>
                <w:sz w:val="17"/>
              </w:rPr>
              <w:t>Measures onboarding and operational friction</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End-to-end completion rate</w:t>
            </w:r>
          </w:p>
        </w:tc>
        <w:tc>
          <w:tcPr>
            <w:tcW w:type="dxa" w:w="3860"/>
            <w:shd w:fill="FAFBFC"/>
            <w:tcMar>
              <w:top w:w="80" w:type="dxa"/>
              <w:start w:w="120" w:type="dxa"/>
              <w:bottom w:w="80" w:type="dxa"/>
              <w:end w:w="120" w:type="dxa"/>
            </w:tcMar>
            <w:vAlign w:val="center"/>
          </w:tcPr>
          <w:p>
            <w:pPr>
              <w:spacing w:after="0"/>
            </w:pPr>
            <w:r>
              <w:rPr>
                <w:rFonts w:ascii="Calibri" w:hAnsi="Calibri"/>
                <w:color w:val="15243A"/>
                <w:sz w:val="17"/>
              </w:rPr>
              <w:t>Tasks reaching their declared completion condition without manual recovery</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Measures actual reliability, not message generation</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Capability mismatch rate</w:t>
            </w:r>
          </w:p>
        </w:tc>
        <w:tc>
          <w:tcPr>
            <w:tcW w:type="dxa" w:w="3860"/>
            <w:tcMar>
              <w:top w:w="80" w:type="dxa"/>
              <w:start w:w="120" w:type="dxa"/>
              <w:bottom w:w="80" w:type="dxa"/>
              <w:end w:w="120" w:type="dxa"/>
            </w:tcMar>
            <w:vAlign w:val="center"/>
          </w:tcPr>
          <w:p>
            <w:pPr>
              <w:spacing w:after="0"/>
            </w:pPr>
            <w:r>
              <w:rPr>
                <w:rFonts w:ascii="Calibri" w:hAnsi="Calibri"/>
                <w:color w:val="15243A"/>
                <w:sz w:val="17"/>
              </w:rPr>
              <w:t>Tasks failing because the selected model/tool cannot perform the mode</w:t>
            </w:r>
          </w:p>
        </w:tc>
        <w:tc>
          <w:tcPr>
            <w:tcW w:type="dxa" w:w="3300"/>
            <w:tcMar>
              <w:top w:w="80" w:type="dxa"/>
              <w:start w:w="120" w:type="dxa"/>
              <w:bottom w:w="80" w:type="dxa"/>
              <w:end w:w="120" w:type="dxa"/>
            </w:tcMar>
            <w:vAlign w:val="center"/>
          </w:tcPr>
          <w:p>
            <w:pPr>
              <w:spacing w:after="0"/>
            </w:pPr>
            <w:r>
              <w:rPr>
                <w:rFonts w:ascii="Calibri" w:hAnsi="Calibri"/>
                <w:color w:val="15243A"/>
                <w:sz w:val="17"/>
              </w:rPr>
              <w:t>Directly validates readiness preflight</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Artifact conversion rate</w:t>
            </w:r>
          </w:p>
        </w:tc>
        <w:tc>
          <w:tcPr>
            <w:tcW w:type="dxa" w:w="3860"/>
            <w:shd w:fill="FAFBFC"/>
            <w:tcMar>
              <w:top w:w="80" w:type="dxa"/>
              <w:start w:w="120" w:type="dxa"/>
              <w:bottom w:w="80" w:type="dxa"/>
              <w:end w:w="120" w:type="dxa"/>
            </w:tcMar>
            <w:vAlign w:val="center"/>
          </w:tcPr>
          <w:p>
            <w:pPr>
              <w:spacing w:after="0"/>
            </w:pPr>
            <w:r>
              <w:rPr>
                <w:rFonts w:ascii="Calibri" w:hAnsi="Calibri"/>
                <w:color w:val="15243A"/>
                <w:sz w:val="17"/>
              </w:rPr>
              <w:t>Completed tasks that create a saved, downloaded, or delivered artifact</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Measures value escaping chat</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Automation success rate</w:t>
            </w:r>
          </w:p>
        </w:tc>
        <w:tc>
          <w:tcPr>
            <w:tcW w:type="dxa" w:w="3860"/>
            <w:tcMar>
              <w:top w:w="80" w:type="dxa"/>
              <w:start w:w="120" w:type="dxa"/>
              <w:bottom w:w="80" w:type="dxa"/>
              <w:end w:w="120" w:type="dxa"/>
            </w:tcMar>
            <w:vAlign w:val="center"/>
          </w:tcPr>
          <w:p>
            <w:pPr>
              <w:spacing w:after="0"/>
            </w:pPr>
            <w:r>
              <w:rPr>
                <w:rFonts w:ascii="Calibri" w:hAnsi="Calibri"/>
                <w:color w:val="15243A"/>
                <w:sz w:val="17"/>
              </w:rPr>
              <w:t>Scheduled/triggered runs completing without duplicate side effects</w:t>
            </w:r>
          </w:p>
        </w:tc>
        <w:tc>
          <w:tcPr>
            <w:tcW w:type="dxa" w:w="3300"/>
            <w:tcMar>
              <w:top w:w="80" w:type="dxa"/>
              <w:start w:w="120" w:type="dxa"/>
              <w:bottom w:w="80" w:type="dxa"/>
              <w:end w:w="120" w:type="dxa"/>
            </w:tcMar>
            <w:vAlign w:val="center"/>
          </w:tcPr>
          <w:p>
            <w:pPr>
              <w:spacing w:after="0"/>
            </w:pPr>
            <w:r>
              <w:rPr>
                <w:rFonts w:ascii="Calibri" w:hAnsi="Calibri"/>
                <w:color w:val="15243A"/>
                <w:sz w:val="17"/>
              </w:rPr>
              <w:t>Measures trust in unattended use</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Local execution share</w:t>
            </w:r>
          </w:p>
        </w:tc>
        <w:tc>
          <w:tcPr>
            <w:tcW w:type="dxa" w:w="3860"/>
            <w:shd w:fill="FAFBFC"/>
            <w:tcMar>
              <w:top w:w="80" w:type="dxa"/>
              <w:start w:w="120" w:type="dxa"/>
              <w:bottom w:w="80" w:type="dxa"/>
              <w:end w:w="120" w:type="dxa"/>
            </w:tcMar>
            <w:vAlign w:val="center"/>
          </w:tcPr>
          <w:p>
            <w:pPr>
              <w:spacing w:after="0"/>
            </w:pPr>
            <w:r>
              <w:rPr>
                <w:rFonts w:ascii="Calibri" w:hAnsi="Calibri"/>
                <w:color w:val="15243A"/>
                <w:sz w:val="17"/>
              </w:rPr>
              <w:t>Eligible tasks completed entirely on local models/tools</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Measures privacy and API-cost value</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Review-to-accept rate</w:t>
            </w:r>
          </w:p>
        </w:tc>
        <w:tc>
          <w:tcPr>
            <w:tcW w:type="dxa" w:w="3860"/>
            <w:tcMar>
              <w:top w:w="80" w:type="dxa"/>
              <w:start w:w="120" w:type="dxa"/>
              <w:bottom w:w="80" w:type="dxa"/>
              <w:end w:w="120" w:type="dxa"/>
            </w:tcMar>
            <w:vAlign w:val="center"/>
          </w:tcPr>
          <w:p>
            <w:pPr>
              <w:spacing w:after="0"/>
            </w:pPr>
            <w:r>
              <w:rPr>
                <w:rFonts w:ascii="Calibri" w:hAnsi="Calibri"/>
                <w:color w:val="15243A"/>
                <w:sz w:val="17"/>
              </w:rPr>
              <w:t>Patches/artifacts approved with no or minor revision</w:t>
            </w:r>
          </w:p>
        </w:tc>
        <w:tc>
          <w:tcPr>
            <w:tcW w:type="dxa" w:w="3300"/>
            <w:tcMar>
              <w:top w:w="80" w:type="dxa"/>
              <w:start w:w="120" w:type="dxa"/>
              <w:bottom w:w="80" w:type="dxa"/>
              <w:end w:w="120" w:type="dxa"/>
            </w:tcMar>
            <w:vAlign w:val="center"/>
          </w:tcPr>
          <w:p>
            <w:pPr>
              <w:spacing w:after="0"/>
            </w:pPr>
            <w:r>
              <w:rPr>
                <w:rFonts w:ascii="Calibri" w:hAnsi="Calibri"/>
                <w:color w:val="15243A"/>
                <w:sz w:val="17"/>
              </w:rPr>
              <w:t>Measures output quality</w:t>
            </w:r>
          </w:p>
        </w:tc>
      </w:tr>
      <w:tr>
        <w:trPr>
          <w:cantSplit/>
        </w:trPr>
        <w:tc>
          <w:tcPr>
            <w:tcW w:type="dxa" w:w="2200"/>
            <w:shd w:fill="FAFBFC"/>
            <w:tcMar>
              <w:top w:w="80" w:type="dxa"/>
              <w:start w:w="120" w:type="dxa"/>
              <w:bottom w:w="80" w:type="dxa"/>
              <w:end w:w="120" w:type="dxa"/>
            </w:tcMar>
            <w:vAlign w:val="center"/>
          </w:tcPr>
          <w:p>
            <w:pPr>
              <w:spacing w:after="0"/>
            </w:pPr>
            <w:r>
              <w:rPr>
                <w:rFonts w:ascii="Calibri" w:hAnsi="Calibri"/>
                <w:color w:val="15243A"/>
                <w:sz w:val="17"/>
              </w:rPr>
              <w:t>Recovery success</w:t>
            </w:r>
          </w:p>
        </w:tc>
        <w:tc>
          <w:tcPr>
            <w:tcW w:type="dxa" w:w="3860"/>
            <w:shd w:fill="FAFBFC"/>
            <w:tcMar>
              <w:top w:w="80" w:type="dxa"/>
              <w:start w:w="120" w:type="dxa"/>
              <w:bottom w:w="80" w:type="dxa"/>
              <w:end w:w="120" w:type="dxa"/>
            </w:tcMar>
            <w:vAlign w:val="center"/>
          </w:tcPr>
          <w:p>
            <w:pPr>
              <w:spacing w:after="0"/>
            </w:pPr>
            <w:r>
              <w:rPr>
                <w:rFonts w:ascii="Calibri" w:hAnsi="Calibri"/>
                <w:color w:val="15243A"/>
                <w:sz w:val="17"/>
              </w:rPr>
              <w:t>Backups passing integrity checks and restore drills</w:t>
            </w:r>
          </w:p>
        </w:tc>
        <w:tc>
          <w:tcPr>
            <w:tcW w:type="dxa" w:w="3300"/>
            <w:shd w:fill="FAFBFC"/>
            <w:tcMar>
              <w:top w:w="80" w:type="dxa"/>
              <w:start w:w="120" w:type="dxa"/>
              <w:bottom w:w="80" w:type="dxa"/>
              <w:end w:w="120" w:type="dxa"/>
            </w:tcMar>
            <w:vAlign w:val="center"/>
          </w:tcPr>
          <w:p>
            <w:pPr>
              <w:spacing w:after="0"/>
            </w:pPr>
            <w:r>
              <w:rPr>
                <w:rFonts w:ascii="Calibri" w:hAnsi="Calibri"/>
                <w:color w:val="15243A"/>
                <w:sz w:val="17"/>
              </w:rPr>
              <w:t>Measures durability</w:t>
            </w:r>
          </w:p>
        </w:tc>
      </w:tr>
      <w:tr>
        <w:trPr>
          <w:cantSplit/>
        </w:trPr>
        <w:tc>
          <w:tcPr>
            <w:tcW w:type="dxa" w:w="2200"/>
            <w:tcMar>
              <w:top w:w="80" w:type="dxa"/>
              <w:start w:w="120" w:type="dxa"/>
              <w:bottom w:w="80" w:type="dxa"/>
              <w:end w:w="120" w:type="dxa"/>
            </w:tcMar>
            <w:vAlign w:val="center"/>
          </w:tcPr>
          <w:p>
            <w:pPr>
              <w:spacing w:after="0"/>
            </w:pPr>
            <w:r>
              <w:rPr>
                <w:rFonts w:ascii="Calibri" w:hAnsi="Calibri"/>
                <w:color w:val="15243A"/>
                <w:sz w:val="17"/>
              </w:rPr>
              <w:t>Weekly active workflows</w:t>
            </w:r>
          </w:p>
        </w:tc>
        <w:tc>
          <w:tcPr>
            <w:tcW w:type="dxa" w:w="3860"/>
            <w:tcMar>
              <w:top w:w="80" w:type="dxa"/>
              <w:start w:w="120" w:type="dxa"/>
              <w:bottom w:w="80" w:type="dxa"/>
              <w:end w:w="120" w:type="dxa"/>
            </w:tcMar>
            <w:vAlign w:val="center"/>
          </w:tcPr>
          <w:p>
            <w:pPr>
              <w:spacing w:after="0"/>
            </w:pPr>
            <w:r>
              <w:rPr>
                <w:rFonts w:ascii="Calibri" w:hAnsi="Calibri"/>
                <w:color w:val="15243A"/>
                <w:sz w:val="17"/>
              </w:rPr>
              <w:t>Distinct completed workflow types per active user</w:t>
            </w:r>
          </w:p>
        </w:tc>
        <w:tc>
          <w:tcPr>
            <w:tcW w:type="dxa" w:w="3300"/>
            <w:tcMar>
              <w:top w:w="80" w:type="dxa"/>
              <w:start w:w="120" w:type="dxa"/>
              <w:bottom w:w="80" w:type="dxa"/>
              <w:end w:w="120" w:type="dxa"/>
            </w:tcMar>
            <w:vAlign w:val="center"/>
          </w:tcPr>
          <w:p>
            <w:pPr>
              <w:spacing w:after="0"/>
            </w:pPr>
            <w:r>
              <w:rPr>
                <w:rFonts w:ascii="Calibri" w:hAnsi="Calibri"/>
                <w:color w:val="15243A"/>
                <w:sz w:val="17"/>
              </w:rPr>
              <w:t>Measures breadth of use cases better than raw chat count</w:t>
            </w:r>
          </w:p>
        </w:tc>
      </w:tr>
    </w:tbl>
    <w:p>
      <w:pPr>
        <w:spacing w:after="0"/>
      </w:pPr>
    </w:p>
    <w:p>
      <w:pPr>
        <w:pStyle w:val="Heading1"/>
        <w:keepNext/>
      </w:pPr>
      <w:r>
        <w:t>9. Risks and controls</w:t>
      </w:r>
    </w:p>
    <w:tbl>
      <w:tblPr>
        <w:tblStyle w:val="TableGrid"/>
        <w:tblW w:type="dxa" w:w="9360"/>
        <w:jc w:val="left"/>
        <w:tblLayout w:type="fixed"/>
        <w:tblLook w:firstColumn="1" w:firstRow="1" w:lastColumn="0" w:lastRow="0" w:noHBand="0" w:noVBand="1" w:val="04A0"/>
        <w:tblInd w:w="120" w:type="dxa"/>
      </w:tblPr>
      <w:tblGrid>
        <w:gridCol w:w="1900"/>
        <w:gridCol w:w="3360"/>
        <w:gridCol w:w="410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rFonts w:ascii="Calibri" w:hAnsi="Calibri"/>
                <w:b/>
                <w:color w:val="15243A"/>
                <w:sz w:val="17"/>
              </w:rPr>
              <w:t>Risk</w:t>
            </w:r>
          </w:p>
        </w:tc>
        <w:tc>
          <w:tcPr>
            <w:tcW w:type="dxa" w:w="3360"/>
            <w:shd w:fill="E8EEF5"/>
            <w:tcMar>
              <w:top w:w="80" w:type="dxa"/>
              <w:start w:w="120" w:type="dxa"/>
              <w:bottom w:w="80" w:type="dxa"/>
              <w:end w:w="120" w:type="dxa"/>
            </w:tcMar>
            <w:vAlign w:val="center"/>
          </w:tcPr>
          <w:p>
            <w:pPr>
              <w:spacing w:after="0"/>
              <w:jc w:val="left"/>
            </w:pPr>
            <w:r>
              <w:rPr>
                <w:rFonts w:ascii="Calibri" w:hAnsi="Calibri"/>
                <w:b/>
                <w:color w:val="15243A"/>
                <w:sz w:val="17"/>
              </w:rPr>
              <w:t>Failure mode</w:t>
            </w:r>
          </w:p>
        </w:tc>
        <w:tc>
          <w:tcPr>
            <w:tcW w:type="dxa" w:w="4100"/>
            <w:shd w:fill="E8EEF5"/>
            <w:tcMar>
              <w:top w:w="80" w:type="dxa"/>
              <w:start w:w="120" w:type="dxa"/>
              <w:bottom w:w="80" w:type="dxa"/>
              <w:end w:w="120" w:type="dxa"/>
            </w:tcMar>
            <w:vAlign w:val="center"/>
          </w:tcPr>
          <w:p>
            <w:pPr>
              <w:spacing w:after="0"/>
              <w:jc w:val="left"/>
            </w:pPr>
            <w:r>
              <w:rPr>
                <w:rFonts w:ascii="Calibri" w:hAnsi="Calibri"/>
                <w:b/>
                <w:color w:val="15243A"/>
                <w:sz w:val="17"/>
              </w:rPr>
              <w:t>Control</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Feature breadth outruns reliability</w:t>
            </w:r>
          </w:p>
        </w:tc>
        <w:tc>
          <w:tcPr>
            <w:tcW w:type="dxa" w:w="3360"/>
            <w:tcMar>
              <w:top w:w="80" w:type="dxa"/>
              <w:start w:w="120" w:type="dxa"/>
              <w:bottom w:w="80" w:type="dxa"/>
              <w:end w:w="120" w:type="dxa"/>
            </w:tcMar>
            <w:vAlign w:val="center"/>
          </w:tcPr>
          <w:p>
            <w:pPr>
              <w:spacing w:after="0"/>
            </w:pPr>
            <w:r>
              <w:rPr>
                <w:rFonts w:ascii="Calibri" w:hAnsi="Calibri"/>
                <w:color w:val="15243A"/>
                <w:sz w:val="17"/>
              </w:rPr>
              <w:t>Many screens exist but few jobs complete</w:t>
            </w:r>
          </w:p>
        </w:tc>
        <w:tc>
          <w:tcPr>
            <w:tcW w:type="dxa" w:w="4100"/>
            <w:tcMar>
              <w:top w:w="80" w:type="dxa"/>
              <w:start w:w="120" w:type="dxa"/>
              <w:bottom w:w="80" w:type="dxa"/>
              <w:end w:w="120" w:type="dxa"/>
            </w:tcMar>
            <w:vAlign w:val="center"/>
          </w:tcPr>
          <w:p>
            <w:pPr>
              <w:spacing w:after="0"/>
            </w:pPr>
            <w:r>
              <w:rPr>
                <w:rFonts w:ascii="Calibri" w:hAnsi="Calibri"/>
                <w:color w:val="15243A"/>
                <w:sz w:val="17"/>
              </w:rPr>
              <w:t>Ship reference workflows and release gates; count outcomes, not endpoints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Connector-induced data leakage</w:t>
            </w:r>
          </w:p>
        </w:tc>
        <w:tc>
          <w:tcPr>
            <w:tcW w:type="dxa" w:w="3360"/>
            <w:shd w:fill="FAFBFC"/>
            <w:tcMar>
              <w:top w:w="80" w:type="dxa"/>
              <w:start w:w="120" w:type="dxa"/>
              <w:bottom w:w="80" w:type="dxa"/>
              <w:end w:w="120" w:type="dxa"/>
            </w:tcMar>
            <w:vAlign w:val="center"/>
          </w:tcPr>
          <w:p>
            <w:pPr>
              <w:spacing w:after="0"/>
            </w:pPr>
            <w:r>
              <w:rPr>
                <w:rFonts w:ascii="Calibri" w:hAnsi="Calibri"/>
                <w:color w:val="15243A"/>
                <w:sz w:val="17"/>
              </w:rPr>
              <w:t>Retrieved content injects instructions or actions send unintended data</w:t>
            </w:r>
          </w:p>
        </w:tc>
        <w:tc>
          <w:tcPr>
            <w:tcW w:type="dxa" w:w="4100"/>
            <w:shd w:fill="FAFBFC"/>
            <w:tcMar>
              <w:top w:w="80" w:type="dxa"/>
              <w:start w:w="120" w:type="dxa"/>
              <w:bottom w:w="80" w:type="dxa"/>
              <w:end w:w="120" w:type="dxa"/>
            </w:tcMar>
            <w:vAlign w:val="center"/>
          </w:tcPr>
          <w:p>
            <w:pPr>
              <w:spacing w:after="0"/>
            </w:pPr>
            <w:r>
              <w:rPr>
                <w:rFonts w:ascii="Calibri" w:hAnsi="Calibri"/>
                <w:color w:val="15243A"/>
                <w:sz w:val="17"/>
              </w:rPr>
              <w:t>Treat external content as untrusted; least privilege, previews, confirmation, egress policy, audit</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Local model variability</w:t>
            </w:r>
          </w:p>
        </w:tc>
        <w:tc>
          <w:tcPr>
            <w:tcW w:type="dxa" w:w="3360"/>
            <w:tcMar>
              <w:top w:w="80" w:type="dxa"/>
              <w:start w:w="120" w:type="dxa"/>
              <w:bottom w:w="80" w:type="dxa"/>
              <w:end w:w="120" w:type="dxa"/>
            </w:tcMar>
            <w:vAlign w:val="center"/>
          </w:tcPr>
          <w:p>
            <w:pPr>
              <w:spacing w:after="0"/>
            </w:pPr>
            <w:r>
              <w:rPr>
                <w:rFonts w:ascii="Calibri" w:hAnsi="Calibri"/>
                <w:color w:val="15243A"/>
                <w:sz w:val="17"/>
              </w:rPr>
              <w:t>A model claims compatibility but fails tools or structured output</w:t>
            </w:r>
          </w:p>
        </w:tc>
        <w:tc>
          <w:tcPr>
            <w:tcW w:type="dxa" w:w="4100"/>
            <w:tcMar>
              <w:top w:w="80" w:type="dxa"/>
              <w:start w:w="120" w:type="dxa"/>
              <w:bottom w:w="80" w:type="dxa"/>
              <w:end w:w="120" w:type="dxa"/>
            </w:tcMar>
            <w:vAlign w:val="center"/>
          </w:tcPr>
          <w:p>
            <w:pPr>
              <w:spacing w:after="0"/>
            </w:pPr>
            <w:r>
              <w:rPr>
                <w:rFonts w:ascii="Calibri" w:hAnsi="Calibri"/>
                <w:color w:val="15243A"/>
                <w:sz w:val="17"/>
              </w:rPr>
              <w:t>Verified readiness tests, conservative routing, visible fallback, evaluation suites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Resource contention</w:t>
            </w:r>
          </w:p>
        </w:tc>
        <w:tc>
          <w:tcPr>
            <w:tcW w:type="dxa" w:w="3360"/>
            <w:shd w:fill="FAFBFC"/>
            <w:tcMar>
              <w:top w:w="80" w:type="dxa"/>
              <w:start w:w="120" w:type="dxa"/>
              <w:bottom w:w="80" w:type="dxa"/>
              <w:end w:w="120" w:type="dxa"/>
            </w:tcMar>
            <w:vAlign w:val="center"/>
          </w:tcPr>
          <w:p>
            <w:pPr>
              <w:spacing w:after="0"/>
            </w:pPr>
            <w:r>
              <w:rPr>
                <w:rFonts w:ascii="Calibri" w:hAnsi="Calibri"/>
                <w:color w:val="15243A"/>
                <w:sz w:val="17"/>
              </w:rPr>
              <w:t>Indexing/OCR/evals make interactive chat unusable</w:t>
            </w:r>
          </w:p>
        </w:tc>
        <w:tc>
          <w:tcPr>
            <w:tcW w:type="dxa" w:w="4100"/>
            <w:shd w:fill="FAFBFC"/>
            <w:tcMar>
              <w:top w:w="80" w:type="dxa"/>
              <w:start w:w="120" w:type="dxa"/>
              <w:bottom w:w="80" w:type="dxa"/>
              <w:end w:w="120" w:type="dxa"/>
            </w:tcMar>
            <w:vAlign w:val="center"/>
          </w:tcPr>
          <w:p>
            <w:pPr>
              <w:spacing w:after="0"/>
            </w:pPr>
            <w:r>
              <w:rPr>
                <w:rFonts w:ascii="Calibri" w:hAnsi="Calibri"/>
                <w:color w:val="15243A"/>
                <w:sz w:val="17"/>
              </w:rPr>
              <w:t>Background queues, resource scheduler, idle policies, user-visible budgets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Permission complexity</w:t>
            </w:r>
          </w:p>
        </w:tc>
        <w:tc>
          <w:tcPr>
            <w:tcW w:type="dxa" w:w="3360"/>
            <w:tcMar>
              <w:top w:w="80" w:type="dxa"/>
              <w:start w:w="120" w:type="dxa"/>
              <w:bottom w:w="80" w:type="dxa"/>
              <w:end w:w="120" w:type="dxa"/>
            </w:tcMar>
            <w:vAlign w:val="center"/>
          </w:tcPr>
          <w:p>
            <w:pPr>
              <w:spacing w:after="0"/>
            </w:pPr>
            <w:r>
              <w:rPr>
                <w:rFonts w:ascii="Calibri" w:hAnsi="Calibri"/>
                <w:color w:val="15243A"/>
                <w:sz w:val="17"/>
              </w:rPr>
              <w:t>Users cannot predict what an agent may do</w:t>
            </w:r>
          </w:p>
        </w:tc>
        <w:tc>
          <w:tcPr>
            <w:tcW w:type="dxa" w:w="4100"/>
            <w:tcMar>
              <w:top w:w="80" w:type="dxa"/>
              <w:start w:w="120" w:type="dxa"/>
              <w:bottom w:w="80" w:type="dxa"/>
              <w:end w:w="120" w:type="dxa"/>
            </w:tcMar>
            <w:vAlign w:val="center"/>
          </w:tcPr>
          <w:p>
            <w:pPr>
              <w:spacing w:after="0"/>
            </w:pPr>
            <w:r>
              <w:rPr>
                <w:rFonts w:ascii="Calibri" w:hAnsi="Calibri"/>
                <w:color w:val="15243A"/>
                <w:sz w:val="17"/>
              </w:rPr>
              <w:t>Reusable policy presets, plain-language previews, consistent approval boundaries</w:t>
            </w:r>
          </w:p>
        </w:tc>
      </w:tr>
      <w:tr>
        <w:trPr>
          <w:cantSplit/>
        </w:trPr>
        <w:tc>
          <w:tcPr>
            <w:tcW w:type="dxa" w:w="1900"/>
            <w:shd w:fill="FAFBFC"/>
            <w:tcMar>
              <w:top w:w="80" w:type="dxa"/>
              <w:start w:w="120" w:type="dxa"/>
              <w:bottom w:w="80" w:type="dxa"/>
              <w:end w:w="120" w:type="dxa"/>
            </w:tcMar>
            <w:vAlign w:val="center"/>
          </w:tcPr>
          <w:p>
            <w:pPr>
              <w:spacing w:after="0"/>
            </w:pPr>
            <w:r>
              <w:rPr>
                <w:rFonts w:ascii="Calibri" w:hAnsi="Calibri"/>
                <w:color w:val="15243A"/>
                <w:sz w:val="17"/>
              </w:rPr>
              <w:t>Upgrade/data loss</w:t>
            </w:r>
          </w:p>
        </w:tc>
        <w:tc>
          <w:tcPr>
            <w:tcW w:type="dxa" w:w="3360"/>
            <w:shd w:fill="FAFBFC"/>
            <w:tcMar>
              <w:top w:w="80" w:type="dxa"/>
              <w:start w:w="120" w:type="dxa"/>
              <w:bottom w:w="80" w:type="dxa"/>
              <w:end w:w="120" w:type="dxa"/>
            </w:tcMar>
            <w:vAlign w:val="center"/>
          </w:tcPr>
          <w:p>
            <w:pPr>
              <w:spacing w:after="0"/>
            </w:pPr>
            <w:r>
              <w:rPr>
                <w:rFonts w:ascii="Calibri" w:hAnsi="Calibri"/>
                <w:color w:val="15243A"/>
                <w:sz w:val="17"/>
              </w:rPr>
              <w:t>Schema or packaging changes damage durable work</w:t>
            </w:r>
          </w:p>
        </w:tc>
        <w:tc>
          <w:tcPr>
            <w:tcW w:type="dxa" w:w="4100"/>
            <w:shd w:fill="FAFBFC"/>
            <w:tcMar>
              <w:top w:w="80" w:type="dxa"/>
              <w:start w:w="120" w:type="dxa"/>
              <w:bottom w:w="80" w:type="dxa"/>
              <w:end w:w="120" w:type="dxa"/>
            </w:tcMar>
            <w:vAlign w:val="center"/>
          </w:tcPr>
          <w:p>
            <w:pPr>
              <w:spacing w:after="0"/>
            </w:pPr>
            <w:r>
              <w:rPr>
                <w:rFonts w:ascii="Calibri" w:hAnsi="Calibri"/>
                <w:color w:val="15243A"/>
                <w:sz w:val="17"/>
              </w:rPr>
              <w:t>Snapshots, migration tests, restore drills, rollback-capable update channels</w:t>
            </w:r>
          </w:p>
        </w:tc>
      </w:tr>
      <w:tr>
        <w:trPr>
          <w:cantSplit/>
        </w:trPr>
        <w:tc>
          <w:tcPr>
            <w:tcW w:type="dxa" w:w="1900"/>
            <w:tcMar>
              <w:top w:w="80" w:type="dxa"/>
              <w:start w:w="120" w:type="dxa"/>
              <w:bottom w:w="80" w:type="dxa"/>
              <w:end w:w="120" w:type="dxa"/>
            </w:tcMar>
            <w:vAlign w:val="center"/>
          </w:tcPr>
          <w:p>
            <w:pPr>
              <w:spacing w:after="0"/>
            </w:pPr>
            <w:r>
              <w:rPr>
                <w:rFonts w:ascii="Calibri" w:hAnsi="Calibri"/>
                <w:color w:val="15243A"/>
                <w:sz w:val="17"/>
              </w:rPr>
              <w:t>Enterprise drag too early</w:t>
            </w:r>
          </w:p>
        </w:tc>
        <w:tc>
          <w:tcPr>
            <w:tcW w:type="dxa" w:w="3360"/>
            <w:tcMar>
              <w:top w:w="80" w:type="dxa"/>
              <w:start w:w="120" w:type="dxa"/>
              <w:bottom w:w="80" w:type="dxa"/>
              <w:end w:w="120" w:type="dxa"/>
            </w:tcMar>
            <w:vAlign w:val="center"/>
          </w:tcPr>
          <w:p>
            <w:pPr>
              <w:spacing w:after="0"/>
            </w:pPr>
            <w:r>
              <w:rPr>
                <w:rFonts w:ascii="Calibri" w:hAnsi="Calibri"/>
                <w:color w:val="15243A"/>
                <w:sz w:val="17"/>
              </w:rPr>
              <w:t>SSO/fleet/compliance consume roadmap before daily value</w:t>
            </w:r>
          </w:p>
        </w:tc>
        <w:tc>
          <w:tcPr>
            <w:tcW w:type="dxa" w:w="4100"/>
            <w:tcMar>
              <w:top w:w="80" w:type="dxa"/>
              <w:start w:w="120" w:type="dxa"/>
              <w:bottom w:w="80" w:type="dxa"/>
              <w:end w:w="120" w:type="dxa"/>
            </w:tcMar>
            <w:vAlign w:val="center"/>
          </w:tcPr>
          <w:p>
            <w:pPr>
              <w:spacing w:after="0"/>
            </w:pPr>
            <w:r>
              <w:rPr>
                <w:rFonts w:ascii="Calibri" w:hAnsi="Calibri"/>
                <w:color w:val="15243A"/>
                <w:sz w:val="17"/>
              </w:rPr>
              <w:t>Gate enterprise epics on demonstrated team demand and stable individual workflows</w:t>
            </w:r>
          </w:p>
        </w:tc>
      </w:tr>
    </w:tbl>
    <w:p>
      <w:pPr>
        <w:spacing w:after="0"/>
      </w:pPr>
    </w:p>
    <w:p>
      <w:pPr>
        <w:pStyle w:val="Heading1"/>
        <w:keepNext/>
      </w:pPr>
      <w:r>
        <w:t>10. What not to prioritize yet</w:t>
      </w:r>
    </w:p>
    <w:p>
      <w:pPr>
        <w:pStyle w:val="ListBullet"/>
      </w:pPr>
      <w:r>
        <w:rPr>
          <w:rFonts w:ascii="Calibri" w:hAnsi="Calibri"/>
          <w:sz w:val="22"/>
        </w:rPr>
        <w:t>A hosted inference marketplace or Rasputin-managed SaaS cloud. It conflicts with the local-first, customer-hardware direction and adds high operational burden.</w:t>
      </w:r>
    </w:p>
    <w:p>
      <w:pPr>
        <w:pStyle w:val="ListBullet"/>
      </w:pPr>
      <w:r>
        <w:rPr>
          <w:rFonts w:ascii="Calibri" w:hAnsi="Calibri"/>
          <w:sz w:val="22"/>
        </w:rPr>
        <w:t>A full IDE replacement. Rasputin should own the agent workflow, review, testing, and orchestration while integrating with existing editors and Git hosts.</w:t>
      </w:r>
    </w:p>
    <w:p>
      <w:pPr>
        <w:pStyle w:val="ListBullet"/>
      </w:pPr>
      <w:r>
        <w:rPr>
          <w:rFonts w:ascii="Calibri" w:hAnsi="Calibri"/>
          <w:sz w:val="22"/>
        </w:rPr>
        <w:t>An open public plugin marketplace before manifests, permissions, versioning, signing, and rollback are mature.</w:t>
      </w:r>
    </w:p>
    <w:p>
      <w:pPr>
        <w:pStyle w:val="ListBullet"/>
      </w:pPr>
      <w:r>
        <w:rPr>
          <w:rFonts w:ascii="Calibri" w:hAnsi="Calibri"/>
          <w:sz w:val="22"/>
        </w:rPr>
        <w:t>Autonomous external communication without previews and policy. Draft-first workflows create value while retaining trust.</w:t>
      </w:r>
    </w:p>
    <w:p>
      <w:pPr>
        <w:pStyle w:val="ListBullet"/>
      </w:pPr>
      <w:r>
        <w:rPr>
          <w:rFonts w:ascii="Calibri" w:hAnsi="Calibri"/>
          <w:sz w:val="22"/>
        </w:rPr>
        <w:t>Broad vertical branding before the reusable platform loops are complete. Build solution packs from proven workflows, not separate products.</w:t>
      </w:r>
    </w:p>
    <w:p>
      <w:pPr>
        <w:pStyle w:val="ListBullet"/>
      </w:pPr>
      <w:r>
        <w:rPr>
          <w:rFonts w:ascii="Calibri" w:hAnsi="Calibri"/>
          <w:sz w:val="22"/>
        </w:rPr>
        <w:t>Fine-grained analytics that require invasive telemetry. Prefer local, administrator-controlled metrics and opt-in exports.</w:t>
      </w:r>
    </w:p>
    <w:p>
      <w:pPr>
        <w:pStyle w:val="Heading1"/>
        <w:keepNext/>
      </w:pPr>
      <w:r>
        <w:t>11. Decision checklist for each proposed feature</w:t>
      </w:r>
    </w:p>
    <w:p>
      <w:pPr>
        <w:pStyle w:val="ListBullet"/>
      </w:pPr>
      <w:r>
        <w:rPr>
          <w:rFonts w:ascii="Calibri" w:hAnsi="Calibri"/>
          <w:sz w:val="22"/>
        </w:rPr>
        <w:t>Name the user and the job that becomes possible; reject features justified only by technical novelty.</w:t>
      </w:r>
    </w:p>
    <w:p>
      <w:pPr>
        <w:pStyle w:val="ListBullet"/>
      </w:pPr>
      <w:r>
        <w:rPr>
          <w:rFonts w:ascii="Calibri" w:hAnsi="Calibri"/>
          <w:sz w:val="22"/>
        </w:rPr>
        <w:t>Identify the complete loop from input through reviewable output and recovery.</w:t>
      </w:r>
    </w:p>
    <w:p>
      <w:pPr>
        <w:pStyle w:val="ListBullet"/>
      </w:pPr>
      <w:r>
        <w:rPr>
          <w:rFonts w:ascii="Calibri" w:hAnsi="Calibri"/>
          <w:sz w:val="22"/>
        </w:rPr>
        <w:t>Confirm which existing Rasputin foundation it reuses and which new subsystem it truly requires.</w:t>
      </w:r>
    </w:p>
    <w:p>
      <w:pPr>
        <w:pStyle w:val="ListBullet"/>
      </w:pPr>
      <w:r>
        <w:rPr>
          <w:rFonts w:ascii="Calibri" w:hAnsi="Calibri"/>
          <w:sz w:val="22"/>
        </w:rPr>
        <w:t>Define local/cloud data boundaries, permissions, retention, audit, and rollback before implementation.</w:t>
      </w:r>
    </w:p>
    <w:p>
      <w:pPr>
        <w:pStyle w:val="ListBullet"/>
      </w:pPr>
      <w:r>
        <w:rPr>
          <w:rFonts w:ascii="Calibri" w:hAnsi="Calibri"/>
          <w:sz w:val="22"/>
        </w:rPr>
        <w:t>Specify a running-app acceptance test using a realistic workflow and representative local model where applicable.</w:t>
      </w:r>
    </w:p>
    <w:p>
      <w:pPr>
        <w:pStyle w:val="ListBullet"/>
      </w:pPr>
      <w:r>
        <w:rPr>
          <w:rFonts w:ascii="Calibri" w:hAnsi="Calibri"/>
          <w:sz w:val="22"/>
        </w:rPr>
        <w:t>Attach one product metric and one quality/safety metric that can decide whether to continue, revise, or stop.</w:t>
      </w:r>
    </w:p>
    <w:p>
      <w:pPr>
        <w:pStyle w:val="Heading1"/>
        <w:keepNext/>
      </w:pPr>
      <w:r>
        <w:t>Appendix A. Suggested initial backlog</w:t>
      </w:r>
    </w:p>
    <w:tbl>
      <w:tblPr>
        <w:tblStyle w:val="TableGrid"/>
        <w:tblW w:type="dxa" w:w="9360"/>
        <w:jc w:val="left"/>
        <w:tblLayout w:type="fixed"/>
        <w:tblLook w:firstColumn="1" w:firstRow="1" w:lastColumn="0" w:lastRow="0" w:noHBand="0" w:noVBand="1" w:val="04A0"/>
        <w:tblInd w:w="120" w:type="dxa"/>
      </w:tblPr>
      <w:tblGrid>
        <w:gridCol w:w="650"/>
        <w:gridCol w:w="2450"/>
        <w:gridCol w:w="850"/>
        <w:gridCol w:w="1450"/>
        <w:gridCol w:w="3960"/>
      </w:tblGrid>
      <w:tr>
        <w:trPr>
          <w:tblHeader w:val="true"/>
          <w:cantSplit/>
        </w:trPr>
        <w:tc>
          <w:tcPr>
            <w:tcW w:type="dxa" w:w="650"/>
            <w:shd w:fill="E8EEF5"/>
            <w:tcMar>
              <w:top w:w="80" w:type="dxa"/>
              <w:start w:w="120" w:type="dxa"/>
              <w:bottom w:w="80" w:type="dxa"/>
              <w:end w:w="120" w:type="dxa"/>
            </w:tcMar>
            <w:vAlign w:val="center"/>
          </w:tcPr>
          <w:p>
            <w:pPr>
              <w:spacing w:after="0"/>
              <w:jc w:val="left"/>
            </w:pPr>
            <w:r>
              <w:rPr>
                <w:rFonts w:ascii="Calibri" w:hAnsi="Calibri"/>
                <w:b/>
                <w:color w:val="15243A"/>
                <w:sz w:val="17"/>
              </w:rPr>
              <w:t>Item</w:t>
            </w:r>
          </w:p>
        </w:tc>
        <w:tc>
          <w:tcPr>
            <w:tcW w:type="dxa" w:w="2450"/>
            <w:shd w:fill="E8EEF5"/>
            <w:tcMar>
              <w:top w:w="80" w:type="dxa"/>
              <w:start w:w="120" w:type="dxa"/>
              <w:bottom w:w="80" w:type="dxa"/>
              <w:end w:w="120" w:type="dxa"/>
            </w:tcMar>
            <w:vAlign w:val="center"/>
          </w:tcPr>
          <w:p>
            <w:pPr>
              <w:spacing w:after="0"/>
              <w:jc w:val="left"/>
            </w:pPr>
            <w:r>
              <w:rPr>
                <w:rFonts w:ascii="Calibri" w:hAnsi="Calibri"/>
                <w:b/>
                <w:color w:val="15243A"/>
                <w:sz w:val="17"/>
              </w:rPr>
              <w:t>Backlog epic</w:t>
            </w:r>
          </w:p>
        </w:tc>
        <w:tc>
          <w:tcPr>
            <w:tcW w:type="dxa" w:w="850"/>
            <w:shd w:fill="E8EEF5"/>
            <w:tcMar>
              <w:top w:w="80" w:type="dxa"/>
              <w:start w:w="120" w:type="dxa"/>
              <w:bottom w:w="80" w:type="dxa"/>
              <w:end w:w="120" w:type="dxa"/>
            </w:tcMar>
            <w:vAlign w:val="center"/>
          </w:tcPr>
          <w:p>
            <w:pPr>
              <w:spacing w:after="0"/>
              <w:jc w:val="left"/>
            </w:pPr>
            <w:r>
              <w:rPr>
                <w:rFonts w:ascii="Calibri" w:hAnsi="Calibri"/>
                <w:b/>
                <w:color w:val="15243A"/>
                <w:sz w:val="17"/>
              </w:rPr>
              <w:t>Feature</w:t>
            </w:r>
          </w:p>
        </w:tc>
        <w:tc>
          <w:tcPr>
            <w:tcW w:type="dxa" w:w="1450"/>
            <w:shd w:fill="E8EEF5"/>
            <w:tcMar>
              <w:top w:w="80" w:type="dxa"/>
              <w:start w:w="120" w:type="dxa"/>
              <w:bottom w:w="80" w:type="dxa"/>
              <w:end w:w="120" w:type="dxa"/>
            </w:tcMar>
            <w:vAlign w:val="center"/>
          </w:tcPr>
          <w:p>
            <w:pPr>
              <w:spacing w:after="0"/>
              <w:jc w:val="left"/>
            </w:pPr>
            <w:r>
              <w:rPr>
                <w:rFonts w:ascii="Calibri" w:hAnsi="Calibri"/>
                <w:b/>
                <w:color w:val="15243A"/>
                <w:sz w:val="17"/>
              </w:rPr>
              <w:t>Surface</w:t>
            </w:r>
          </w:p>
        </w:tc>
        <w:tc>
          <w:tcPr>
            <w:tcW w:type="dxa" w:w="3960"/>
            <w:shd w:fill="E8EEF5"/>
            <w:tcMar>
              <w:top w:w="80" w:type="dxa"/>
              <w:start w:w="120" w:type="dxa"/>
              <w:bottom w:w="80" w:type="dxa"/>
              <w:end w:w="120" w:type="dxa"/>
            </w:tcMar>
            <w:vAlign w:val="center"/>
          </w:tcPr>
          <w:p>
            <w:pPr>
              <w:spacing w:after="0"/>
              <w:jc w:val="left"/>
            </w:pPr>
            <w:r>
              <w:rPr>
                <w:rFonts w:ascii="Calibri" w:hAnsi="Calibri"/>
                <w:b/>
                <w:color w:val="15243A"/>
                <w:sz w:val="17"/>
              </w:rPr>
              <w:t>Acceptance outcome</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A1</w:t>
            </w:r>
          </w:p>
        </w:tc>
        <w:tc>
          <w:tcPr>
            <w:tcW w:type="dxa" w:w="2450"/>
            <w:tcMar>
              <w:top w:w="80" w:type="dxa"/>
              <w:start w:w="120" w:type="dxa"/>
              <w:bottom w:w="80" w:type="dxa"/>
              <w:end w:w="120" w:type="dxa"/>
            </w:tcMar>
            <w:vAlign w:val="center"/>
          </w:tcPr>
          <w:p>
            <w:pPr>
              <w:spacing w:after="0"/>
            </w:pPr>
            <w:r>
              <w:rPr>
                <w:rFonts w:ascii="Calibri" w:hAnsi="Calibri"/>
                <w:color w:val="15243A"/>
                <w:sz w:val="17"/>
              </w:rPr>
              <w:t>Capability registry and readiness runner</w:t>
            </w:r>
          </w:p>
        </w:tc>
        <w:tc>
          <w:tcPr>
            <w:tcW w:type="dxa" w:w="850"/>
            <w:tcMar>
              <w:top w:w="80" w:type="dxa"/>
              <w:start w:w="120" w:type="dxa"/>
              <w:bottom w:w="80" w:type="dxa"/>
              <w:end w:w="120" w:type="dxa"/>
            </w:tcMar>
            <w:vAlign w:val="center"/>
          </w:tcPr>
          <w:p>
            <w:pPr>
              <w:spacing w:after="0"/>
            </w:pPr>
            <w:r>
              <w:rPr>
                <w:rFonts w:ascii="Calibri" w:hAnsi="Calibri"/>
                <w:color w:val="15243A"/>
                <w:sz w:val="17"/>
              </w:rPr>
              <w:t>F09</w:t>
            </w:r>
          </w:p>
        </w:tc>
        <w:tc>
          <w:tcPr>
            <w:tcW w:type="dxa" w:w="1450"/>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tcMar>
              <w:top w:w="80" w:type="dxa"/>
              <w:start w:w="120" w:type="dxa"/>
              <w:bottom w:w="80" w:type="dxa"/>
              <w:end w:w="120" w:type="dxa"/>
            </w:tcMar>
            <w:vAlign w:val="center"/>
          </w:tcPr>
          <w:p>
            <w:pPr>
              <w:spacing w:after="0"/>
            </w:pPr>
            <w:r>
              <w:rPr>
                <w:rFonts w:ascii="Calibri" w:hAnsi="Calibri"/>
                <w:color w:val="15243A"/>
                <w:sz w:val="17"/>
              </w:rPr>
              <w:t>Incompatible modes disabled before task creation</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A2</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Attachment intake and retention controls</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F01</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PDF/text/image attachment reaches task with provenance</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A3</w:t>
            </w:r>
          </w:p>
        </w:tc>
        <w:tc>
          <w:tcPr>
            <w:tcW w:type="dxa" w:w="2450"/>
            <w:tcMar>
              <w:top w:w="80" w:type="dxa"/>
              <w:start w:w="120" w:type="dxa"/>
              <w:bottom w:w="80" w:type="dxa"/>
              <w:end w:w="120" w:type="dxa"/>
            </w:tcMar>
            <w:vAlign w:val="center"/>
          </w:tcPr>
          <w:p>
            <w:pPr>
              <w:spacing w:after="0"/>
            </w:pPr>
            <w:r>
              <w:rPr>
                <w:rFonts w:ascii="Calibri" w:hAnsi="Calibri"/>
                <w:color w:val="15243A"/>
                <w:sz w:val="17"/>
              </w:rPr>
              <w:t>Workspace command setup card</w:t>
            </w:r>
          </w:p>
        </w:tc>
        <w:tc>
          <w:tcPr>
            <w:tcW w:type="dxa" w:w="850"/>
            <w:tcMar>
              <w:top w:w="80" w:type="dxa"/>
              <w:start w:w="120" w:type="dxa"/>
              <w:bottom w:w="80" w:type="dxa"/>
              <w:end w:w="120" w:type="dxa"/>
            </w:tcMar>
            <w:vAlign w:val="center"/>
          </w:tcPr>
          <w:p>
            <w:pPr>
              <w:spacing w:after="0"/>
            </w:pPr>
            <w:r>
              <w:rPr>
                <w:rFonts w:ascii="Calibri" w:hAnsi="Calibri"/>
                <w:color w:val="15243A"/>
                <w:sz w:val="17"/>
              </w:rPr>
              <w:t>F08</w:t>
            </w:r>
          </w:p>
        </w:tc>
        <w:tc>
          <w:tcPr>
            <w:tcW w:type="dxa" w:w="1450"/>
            <w:tcMar>
              <w:top w:w="80" w:type="dxa"/>
              <w:start w:w="120" w:type="dxa"/>
              <w:bottom w:w="80" w:type="dxa"/>
              <w:end w:w="120" w:type="dxa"/>
            </w:tcMar>
            <w:vAlign w:val="center"/>
          </w:tcPr>
          <w:p>
            <w:pPr>
              <w:spacing w:after="0"/>
            </w:pPr>
            <w:r>
              <w:rPr>
                <w:rFonts w:ascii="Calibri" w:hAnsi="Calibri"/>
                <w:color w:val="15243A"/>
                <w:sz w:val="17"/>
              </w:rPr>
              <w:t>UI</w:t>
            </w:r>
          </w:p>
        </w:tc>
        <w:tc>
          <w:tcPr>
            <w:tcW w:type="dxa" w:w="3960"/>
            <w:tcMar>
              <w:top w:w="80" w:type="dxa"/>
              <w:start w:w="120" w:type="dxa"/>
              <w:bottom w:w="80" w:type="dxa"/>
              <w:end w:w="120" w:type="dxa"/>
            </w:tcMar>
            <w:vAlign w:val="center"/>
          </w:tcPr>
          <w:p>
            <w:pPr>
              <w:spacing w:after="0"/>
            </w:pPr>
            <w:r>
              <w:rPr>
                <w:rFonts w:ascii="Calibri" w:hAnsi="Calibri"/>
                <w:color w:val="15243A"/>
                <w:sz w:val="17"/>
              </w:rPr>
              <w:t>Test/build/lint commands save, validate, and appear in coding preflight</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A4</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Local coder file-edit acceptance fixture</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F08/F10</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QA</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Real local model edits, tests, repairs, and reaches review</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A5</w:t>
            </w:r>
          </w:p>
        </w:tc>
        <w:tc>
          <w:tcPr>
            <w:tcW w:type="dxa" w:w="2450"/>
            <w:tcMar>
              <w:top w:w="80" w:type="dxa"/>
              <w:start w:w="120" w:type="dxa"/>
              <w:bottom w:w="80" w:type="dxa"/>
              <w:end w:w="120" w:type="dxa"/>
            </w:tcMar>
            <w:vAlign w:val="center"/>
          </w:tcPr>
          <w:p>
            <w:pPr>
              <w:spacing w:after="0"/>
            </w:pPr>
            <w:r>
              <w:rPr>
                <w:rFonts w:ascii="Calibri" w:hAnsi="Calibri"/>
                <w:color w:val="15243A"/>
                <w:sz w:val="17"/>
              </w:rPr>
              <w:t>Schedule runner and run history</w:t>
            </w:r>
          </w:p>
        </w:tc>
        <w:tc>
          <w:tcPr>
            <w:tcW w:type="dxa" w:w="850"/>
            <w:tcMar>
              <w:top w:w="80" w:type="dxa"/>
              <w:start w:w="120" w:type="dxa"/>
              <w:bottom w:w="80" w:type="dxa"/>
              <w:end w:w="120" w:type="dxa"/>
            </w:tcMar>
            <w:vAlign w:val="center"/>
          </w:tcPr>
          <w:p>
            <w:pPr>
              <w:spacing w:after="0"/>
            </w:pPr>
            <w:r>
              <w:rPr>
                <w:rFonts w:ascii="Calibri" w:hAnsi="Calibri"/>
                <w:color w:val="15243A"/>
                <w:sz w:val="17"/>
              </w:rPr>
              <w:t>F05</w:t>
            </w:r>
          </w:p>
        </w:tc>
        <w:tc>
          <w:tcPr>
            <w:tcW w:type="dxa" w:w="1450"/>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tcMar>
              <w:top w:w="80" w:type="dxa"/>
              <w:start w:w="120" w:type="dxa"/>
              <w:bottom w:w="80" w:type="dxa"/>
              <w:end w:w="120" w:type="dxa"/>
            </w:tcMar>
            <w:vAlign w:val="center"/>
          </w:tcPr>
          <w:p>
            <w:pPr>
              <w:spacing w:after="0"/>
            </w:pPr>
            <w:r>
              <w:rPr>
                <w:rFonts w:ascii="Calibri" w:hAnsi="Calibri"/>
                <w:color w:val="15243A"/>
                <w:sz w:val="17"/>
              </w:rPr>
              <w:t>Recurring task executes once per due window with retry and notification</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A6</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Encrypted backup and restore preview</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F11</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Backend + CLI/UI</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Fresh install restores representative state and passes integrity audit</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A7</w:t>
            </w:r>
          </w:p>
        </w:tc>
        <w:tc>
          <w:tcPr>
            <w:tcW w:type="dxa" w:w="2450"/>
            <w:tcMar>
              <w:top w:w="80" w:type="dxa"/>
              <w:start w:w="120" w:type="dxa"/>
              <w:bottom w:w="80" w:type="dxa"/>
              <w:end w:w="120" w:type="dxa"/>
            </w:tcMar>
            <w:vAlign w:val="center"/>
          </w:tcPr>
          <w:p>
            <w:pPr>
              <w:spacing w:after="0"/>
            </w:pPr>
            <w:r>
              <w:rPr>
                <w:rFonts w:ascii="Calibri" w:hAnsi="Calibri"/>
                <w:color w:val="15243A"/>
                <w:sz w:val="17"/>
              </w:rPr>
              <w:t>Typed artifact/version storage</w:t>
            </w:r>
          </w:p>
        </w:tc>
        <w:tc>
          <w:tcPr>
            <w:tcW w:type="dxa" w:w="850"/>
            <w:tcMar>
              <w:top w:w="80" w:type="dxa"/>
              <w:start w:w="120" w:type="dxa"/>
              <w:bottom w:w="80" w:type="dxa"/>
              <w:end w:w="120" w:type="dxa"/>
            </w:tcMar>
            <w:vAlign w:val="center"/>
          </w:tcPr>
          <w:p>
            <w:pPr>
              <w:spacing w:after="0"/>
            </w:pPr>
            <w:r>
              <w:rPr>
                <w:rFonts w:ascii="Calibri" w:hAnsi="Calibri"/>
                <w:color w:val="15243A"/>
                <w:sz w:val="17"/>
              </w:rPr>
              <w:t>F02/F14</w:t>
            </w:r>
          </w:p>
        </w:tc>
        <w:tc>
          <w:tcPr>
            <w:tcW w:type="dxa" w:w="1450"/>
            <w:tcMar>
              <w:top w:w="80" w:type="dxa"/>
              <w:start w:w="120" w:type="dxa"/>
              <w:bottom w:w="80" w:type="dxa"/>
              <w:end w:w="120" w:type="dxa"/>
            </w:tcMar>
            <w:vAlign w:val="center"/>
          </w:tcPr>
          <w:p>
            <w:pPr>
              <w:spacing w:after="0"/>
            </w:pPr>
            <w:r>
              <w:rPr>
                <w:rFonts w:ascii="Calibri" w:hAnsi="Calibri"/>
                <w:color w:val="15243A"/>
                <w:sz w:val="17"/>
              </w:rPr>
              <w:t>Backend</w:t>
            </w:r>
          </w:p>
        </w:tc>
        <w:tc>
          <w:tcPr>
            <w:tcW w:type="dxa" w:w="3960"/>
            <w:tcMar>
              <w:top w:w="80" w:type="dxa"/>
              <w:start w:w="120" w:type="dxa"/>
              <w:bottom w:w="80" w:type="dxa"/>
              <w:end w:w="120" w:type="dxa"/>
            </w:tcMar>
            <w:vAlign w:val="center"/>
          </w:tcPr>
          <w:p>
            <w:pPr>
              <w:spacing w:after="0"/>
            </w:pPr>
            <w:r>
              <w:rPr>
                <w:rFonts w:ascii="Calibri" w:hAnsi="Calibri"/>
                <w:color w:val="15243A"/>
                <w:sz w:val="17"/>
              </w:rPr>
              <w:t>Multiple versions preserve source task and binary/text payload</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A8</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DOCX/PDF/XLSX export adapters</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F02</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Generated files validate and preview/download cleanly</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A9</w:t>
            </w:r>
          </w:p>
        </w:tc>
        <w:tc>
          <w:tcPr>
            <w:tcW w:type="dxa" w:w="2450"/>
            <w:tcMar>
              <w:top w:w="80" w:type="dxa"/>
              <w:start w:w="120" w:type="dxa"/>
              <w:bottom w:w="80" w:type="dxa"/>
              <w:end w:w="120" w:type="dxa"/>
            </w:tcMar>
            <w:vAlign w:val="center"/>
          </w:tcPr>
          <w:p>
            <w:pPr>
              <w:spacing w:after="0"/>
            </w:pPr>
            <w:r>
              <w:rPr>
                <w:rFonts w:ascii="Calibri" w:hAnsi="Calibri"/>
                <w:color w:val="15243A"/>
                <w:sz w:val="17"/>
              </w:rPr>
              <w:t>Incremental watched-folder indexer</w:t>
            </w:r>
          </w:p>
        </w:tc>
        <w:tc>
          <w:tcPr>
            <w:tcW w:type="dxa" w:w="850"/>
            <w:tcMar>
              <w:top w:w="80" w:type="dxa"/>
              <w:start w:w="120" w:type="dxa"/>
              <w:bottom w:w="80" w:type="dxa"/>
              <w:end w:w="120" w:type="dxa"/>
            </w:tcMar>
            <w:vAlign w:val="center"/>
          </w:tcPr>
          <w:p>
            <w:pPr>
              <w:spacing w:after="0"/>
            </w:pPr>
            <w:r>
              <w:rPr>
                <w:rFonts w:ascii="Calibri" w:hAnsi="Calibri"/>
                <w:color w:val="15243A"/>
                <w:sz w:val="17"/>
              </w:rPr>
              <w:t>F03</w:t>
            </w:r>
          </w:p>
        </w:tc>
        <w:tc>
          <w:tcPr>
            <w:tcW w:type="dxa" w:w="1450"/>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tcMar>
              <w:top w:w="80" w:type="dxa"/>
              <w:start w:w="120" w:type="dxa"/>
              <w:bottom w:w="80" w:type="dxa"/>
              <w:end w:w="120" w:type="dxa"/>
            </w:tcMar>
            <w:vAlign w:val="center"/>
          </w:tcPr>
          <w:p>
            <w:pPr>
              <w:spacing w:after="0"/>
            </w:pPr>
            <w:r>
              <w:rPr>
                <w:rFonts w:ascii="Calibri" w:hAnsi="Calibri"/>
                <w:color w:val="15243A"/>
                <w:sz w:val="17"/>
              </w:rPr>
              <w:t>Changes, deletions, errors, freshness visible per source</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A10</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Connector contract and OAuth lifecycle</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F06</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One provider completes authorize, read, draft, approve, send</w:t>
            </w:r>
          </w:p>
        </w:tc>
      </w:tr>
      <w:tr>
        <w:trPr>
          <w:cantSplit/>
        </w:trPr>
        <w:tc>
          <w:tcPr>
            <w:tcW w:type="dxa" w:w="650"/>
            <w:tcMar>
              <w:top w:w="80" w:type="dxa"/>
              <w:start w:w="120" w:type="dxa"/>
              <w:bottom w:w="80" w:type="dxa"/>
              <w:end w:w="120" w:type="dxa"/>
            </w:tcMar>
            <w:vAlign w:val="center"/>
          </w:tcPr>
          <w:p>
            <w:pPr>
              <w:spacing w:after="0"/>
            </w:pPr>
            <w:r>
              <w:rPr>
                <w:rFonts w:ascii="Calibri" w:hAnsi="Calibri"/>
                <w:color w:val="15243A"/>
                <w:sz w:val="17"/>
              </w:rPr>
              <w:t>A11</w:t>
            </w:r>
          </w:p>
        </w:tc>
        <w:tc>
          <w:tcPr>
            <w:tcW w:type="dxa" w:w="2450"/>
            <w:tcMar>
              <w:top w:w="80" w:type="dxa"/>
              <w:start w:w="120" w:type="dxa"/>
              <w:bottom w:w="80" w:type="dxa"/>
              <w:end w:w="120" w:type="dxa"/>
            </w:tcMar>
            <w:vAlign w:val="center"/>
          </w:tcPr>
          <w:p>
            <w:pPr>
              <w:spacing w:after="0"/>
            </w:pPr>
            <w:r>
              <w:rPr>
                <w:rFonts w:ascii="Calibri" w:hAnsi="Calibri"/>
                <w:color w:val="15243A"/>
                <w:sz w:val="17"/>
              </w:rPr>
              <w:t>Golden workflow evaluation suite</w:t>
            </w:r>
          </w:p>
        </w:tc>
        <w:tc>
          <w:tcPr>
            <w:tcW w:type="dxa" w:w="850"/>
            <w:tcMar>
              <w:top w:w="80" w:type="dxa"/>
              <w:start w:w="120" w:type="dxa"/>
              <w:bottom w:w="80" w:type="dxa"/>
              <w:end w:w="120" w:type="dxa"/>
            </w:tcMar>
            <w:vAlign w:val="center"/>
          </w:tcPr>
          <w:p>
            <w:pPr>
              <w:spacing w:after="0"/>
            </w:pPr>
            <w:r>
              <w:rPr>
                <w:rFonts w:ascii="Calibri" w:hAnsi="Calibri"/>
                <w:color w:val="15243A"/>
                <w:sz w:val="17"/>
              </w:rPr>
              <w:t>F10</w:t>
            </w:r>
          </w:p>
        </w:tc>
        <w:tc>
          <w:tcPr>
            <w:tcW w:type="dxa" w:w="1450"/>
            <w:tcMar>
              <w:top w:w="80" w:type="dxa"/>
              <w:start w:w="120" w:type="dxa"/>
              <w:bottom w:w="80" w:type="dxa"/>
              <w:end w:w="120" w:type="dxa"/>
            </w:tcMar>
            <w:vAlign w:val="center"/>
          </w:tcPr>
          <w:p>
            <w:pPr>
              <w:spacing w:after="0"/>
            </w:pPr>
            <w:r>
              <w:rPr>
                <w:rFonts w:ascii="Calibri" w:hAnsi="Calibri"/>
                <w:color w:val="15243A"/>
                <w:sz w:val="17"/>
              </w:rPr>
              <w:t>QA + Trials</w:t>
            </w:r>
          </w:p>
        </w:tc>
        <w:tc>
          <w:tcPr>
            <w:tcW w:type="dxa" w:w="3960"/>
            <w:tcMar>
              <w:top w:w="80" w:type="dxa"/>
              <w:start w:w="120" w:type="dxa"/>
              <w:bottom w:w="80" w:type="dxa"/>
              <w:end w:w="120" w:type="dxa"/>
            </w:tcMar>
            <w:vAlign w:val="center"/>
          </w:tcPr>
          <w:p>
            <w:pPr>
              <w:spacing w:after="0"/>
            </w:pPr>
            <w:r>
              <w:rPr>
                <w:rFonts w:ascii="Calibri" w:hAnsi="Calibri"/>
                <w:color w:val="15243A"/>
                <w:sz w:val="17"/>
              </w:rPr>
              <w:t>Critical path suite runs on demand and gates release</w:t>
            </w:r>
          </w:p>
        </w:tc>
      </w:tr>
      <w:tr>
        <w:trPr>
          <w:cantSplit/>
        </w:trPr>
        <w:tc>
          <w:tcPr>
            <w:tcW w:type="dxa" w:w="650"/>
            <w:shd w:fill="FAFBFC"/>
            <w:tcMar>
              <w:top w:w="80" w:type="dxa"/>
              <w:start w:w="120" w:type="dxa"/>
              <w:bottom w:w="80" w:type="dxa"/>
              <w:end w:w="120" w:type="dxa"/>
            </w:tcMar>
            <w:vAlign w:val="center"/>
          </w:tcPr>
          <w:p>
            <w:pPr>
              <w:spacing w:after="0"/>
            </w:pPr>
            <w:r>
              <w:rPr>
                <w:rFonts w:ascii="Calibri" w:hAnsi="Calibri"/>
                <w:color w:val="15243A"/>
                <w:sz w:val="17"/>
              </w:rPr>
              <w:t>A12</w:t>
            </w:r>
          </w:p>
        </w:tc>
        <w:tc>
          <w:tcPr>
            <w:tcW w:type="dxa" w:w="2450"/>
            <w:shd w:fill="FAFBFC"/>
            <w:tcMar>
              <w:top w:w="80" w:type="dxa"/>
              <w:start w:w="120" w:type="dxa"/>
              <w:bottom w:w="80" w:type="dxa"/>
              <w:end w:w="120" w:type="dxa"/>
            </w:tcMar>
            <w:vAlign w:val="center"/>
          </w:tcPr>
          <w:p>
            <w:pPr>
              <w:spacing w:after="0"/>
            </w:pPr>
            <w:r>
              <w:rPr>
                <w:rFonts w:ascii="Calibri" w:hAnsi="Calibri"/>
                <w:color w:val="15243A"/>
                <w:sz w:val="17"/>
              </w:rPr>
              <w:t>Redacted diagnostics bundle</w:t>
            </w:r>
          </w:p>
        </w:tc>
        <w:tc>
          <w:tcPr>
            <w:tcW w:type="dxa" w:w="850"/>
            <w:shd w:fill="FAFBFC"/>
            <w:tcMar>
              <w:top w:w="80" w:type="dxa"/>
              <w:start w:w="120" w:type="dxa"/>
              <w:bottom w:w="80" w:type="dxa"/>
              <w:end w:w="120" w:type="dxa"/>
            </w:tcMar>
            <w:vAlign w:val="center"/>
          </w:tcPr>
          <w:p>
            <w:pPr>
              <w:spacing w:after="0"/>
            </w:pPr>
            <w:r>
              <w:rPr>
                <w:rFonts w:ascii="Calibri" w:hAnsi="Calibri"/>
                <w:color w:val="15243A"/>
                <w:sz w:val="17"/>
              </w:rPr>
              <w:t>F45</w:t>
            </w:r>
          </w:p>
        </w:tc>
        <w:tc>
          <w:tcPr>
            <w:tcW w:type="dxa" w:w="1450"/>
            <w:shd w:fill="FAFBFC"/>
            <w:tcMar>
              <w:top w:w="80" w:type="dxa"/>
              <w:start w:w="120" w:type="dxa"/>
              <w:bottom w:w="80" w:type="dxa"/>
              <w:end w:w="120" w:type="dxa"/>
            </w:tcMar>
            <w:vAlign w:val="center"/>
          </w:tcPr>
          <w:p>
            <w:pPr>
              <w:spacing w:after="0"/>
            </w:pPr>
            <w:r>
              <w:rPr>
                <w:rFonts w:ascii="Calibri" w:hAnsi="Calibri"/>
                <w:color w:val="15243A"/>
                <w:sz w:val="17"/>
              </w:rPr>
              <w:t>Backend + UI</w:t>
            </w:r>
          </w:p>
        </w:tc>
        <w:tc>
          <w:tcPr>
            <w:tcW w:type="dxa" w:w="3960"/>
            <w:shd w:fill="FAFBFC"/>
            <w:tcMar>
              <w:top w:w="80" w:type="dxa"/>
              <w:start w:w="120" w:type="dxa"/>
              <w:bottom w:w="80" w:type="dxa"/>
              <w:end w:w="120" w:type="dxa"/>
            </w:tcMar>
            <w:vAlign w:val="center"/>
          </w:tcPr>
          <w:p>
            <w:pPr>
              <w:spacing w:after="0"/>
            </w:pPr>
            <w:r>
              <w:rPr>
                <w:rFonts w:ascii="Calibri" w:hAnsi="Calibri"/>
                <w:color w:val="15243A"/>
                <w:sz w:val="17"/>
              </w:rPr>
              <w:t>One-click bundle contains actionable health with no secrets</w:t>
            </w:r>
          </w:p>
        </w:tc>
      </w:tr>
    </w:tbl>
    <w:p>
      <w:pPr>
        <w:spacing w:after="0"/>
      </w:pPr>
    </w:p>
    <w:p>
      <w:pPr>
        <w:pStyle w:val="Heading1"/>
        <w:keepNext/>
      </w:pPr>
      <w:r>
        <w:t>Appendix B. Repository evidence reviewed</w:t>
      </w:r>
    </w:p>
    <w:p>
      <w:r>
        <w:rPr>
          <w:rFonts w:ascii="Calibri" w:hAnsi="Calibri"/>
          <w:i w:val="0"/>
          <w:sz w:val="22"/>
        </w:rPr>
        <w:t>This document was grounded in the repository state available on July 16, 2026. The following sources were used to distinguish implemented foundations, partial features, and genuine additions:</w:t>
      </w:r>
    </w:p>
    <w:p>
      <w:pPr>
        <w:pStyle w:val="ListBullet"/>
      </w:pPr>
      <w:r>
        <w:rPr>
          <w:rFonts w:ascii="Calibri" w:hAnsi="Calibri"/>
          <w:sz w:val="22"/>
        </w:rPr>
        <w:t>docs/CODEX_ONBOARDING.md - product direction, runtime model, hard rules, and current coding-agent state.</w:t>
      </w:r>
    </w:p>
    <w:p>
      <w:pPr>
        <w:pStyle w:val="ListBullet"/>
      </w:pPr>
      <w:r>
        <w:rPr>
          <w:rFonts w:ascii="Calibri" w:hAnsi="Calibri"/>
          <w:sz w:val="22"/>
        </w:rPr>
        <w:t>docs/CODING_AGENT_IMPLEMENTATION_CHECKLIST.md - completed stages, verification gaps, UI debt, and remaining end-to-end coding work.</w:t>
      </w:r>
    </w:p>
    <w:p>
      <w:pPr>
        <w:pStyle w:val="ListBullet"/>
      </w:pPr>
      <w:r>
        <w:rPr>
          <w:rFonts w:ascii="Calibri" w:hAnsi="Calibri"/>
          <w:sz w:val="22"/>
        </w:rPr>
        <w:t>README.md and deployment/desktop documentation - Docker, native, desktop, LAN, packaging, and security paths.</w:t>
      </w:r>
    </w:p>
    <w:p>
      <w:pPr>
        <w:pStyle w:val="ListBullet"/>
      </w:pPr>
      <w:r>
        <w:rPr>
          <w:rFonts w:ascii="Calibri" w:hAnsi="Calibri"/>
          <w:sz w:val="22"/>
        </w:rPr>
        <w:t>frontend-src/src/features and components/shell/DashSidebar.jsx - visible navigation, modes, settings, workspaces, trials, runtime, and activity surfaces.</w:t>
      </w:r>
    </w:p>
    <w:p>
      <w:pPr>
        <w:pStyle w:val="ListBullet"/>
      </w:pPr>
      <w:r>
        <w:rPr>
          <w:rFonts w:ascii="Calibri" w:hAnsi="Calibri"/>
          <w:sz w:val="22"/>
        </w:rPr>
        <w:t>backend/api/core.py, agent.py, warsat_api.py, and mcp_routes.py - current API capabilities for auth, models, tasks, artifacts, schedules, connectors, memory/RAG/graph, trials, workspaces, archive, MCP, and WarSat.</w:t>
      </w:r>
    </w:p>
    <w:p>
      <w:pPr>
        <w:pStyle w:val="ListBullet"/>
      </w:pPr>
      <w:r>
        <w:rPr>
          <w:rFonts w:ascii="Calibri" w:hAnsi="Calibri"/>
          <w:sz w:val="22"/>
        </w:rPr>
        <w:t>backend/core/workspace.py, schedules.py, connectors.py; backend/engine/agent.py and output.py - current data and execution foundations.</w:t>
      </w:r>
    </w:p>
    <w:p>
      <w:pPr>
        <w:spacing w:before="80" w:after="200"/>
        <w:ind w:left="115" w:right="115"/>
        <w:shd w:fill="F4F6F9"/>
        <w:pBdr>
          <w:left w:val="single" w:sz="18" w:space="8" w:color="2E74B5"/>
        </w:pBdr>
      </w:pPr>
      <w:r>
        <w:rPr>
          <w:rFonts w:ascii="Calibri" w:hAnsi="Calibri"/>
          <w:b/>
          <w:color w:val="2E74B5"/>
          <w:sz w:val="18"/>
        </w:rPr>
        <w:t xml:space="preserve">INTERPRETATION NOTE  </w:t>
      </w:r>
      <w:r>
        <w:rPr>
          <w:rFonts w:ascii="Calibri" w:hAnsi="Calibri"/>
          <w:color w:val="15243A"/>
          <w:sz w:val="21"/>
        </w:rPr>
        <w:t>Some foundations are technically present but not yet complete product features. The roadmap intentionally distinguishes 'data/API exists' from 'a user can finish the job safely and reliably.'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RASPUTIN  |  PRODUCT EXPANSION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5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ID">
    <w:name w:val="Feature ID"/>
    <w:rPr>
      <w:rFonts w:ascii="Calibri" w:hAnsi="Calibri"/>
      <w:b/>
      <w:color w:val="2E74B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Rasputin Feature Expansion Strategy</dc:title>
  <dc:subject>Prioritized product roadmap and comprehensive feature portfolio</dc:subject>
  <dc:creator>Rasputin product strategy</dc:creator>
  <cp:keywords>Rasputin, product strategy, roadmap, local AI, automation, features</cp:keywords>
  <dc:description>generated by python-docx</dc:description>
  <cp:lastModifiedBy/>
  <cp:revision>1</cp:revision>
  <dcterms:created xsi:type="dcterms:W3CDTF">2013-12-23T23:15:00Z</dcterms:created>
  <dcterms:modified xsi:type="dcterms:W3CDTF">2013-12-23T23:15:00Z</dcterms:modified>
  <cp:category/>
</cp:coreProperties>
</file>