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IBM Plex Mono" w:cs="IBM Plex Mono" w:eastAsia="IBM Plex Mono" w:hAnsi="IBM Plex Mono"/>
          <w:b/>
          <w:bCs/>
          <w:color w:val="A67C1E"/>
          <w:sz w:val="20"/>
          <w:szCs w:val="20"/>
        </w:rPr>
        <w:t xml:space="preserve">RIDESHARE GENESIS</w:t>
      </w:r>
    </w:p>
    <w:p>
      <w:pPr>
        <w:spacing w:after="120"/>
      </w:pPr>
      <w:r>
        <w:rPr>
          <w:b/>
          <w:bCs/>
          <w:color w:val="15142B"/>
          <w:sz w:val="56"/>
          <w:szCs w:val="56"/>
        </w:rPr>
        <w:t xml:space="preserve">Product &amp; Technical Blueprint</w:t>
      </w:r>
    </w:p>
    <w:p>
      <w:pPr>
        <w:spacing w:after="400"/>
      </w:pPr>
      <w:r>
        <w:rPr>
          <w:i/>
          <w:iCs/>
          <w:color w:val="5B5875"/>
          <w:sz w:val="24"/>
          <w:szCs w:val="24"/>
        </w:rPr>
        <w:t xml:space="preserve">V1 — Nairobi pilot · Prepared for internal use and investor due diligence</w:t>
      </w:r>
    </w:p>
    <w:p>
      <w:pPr>
        <w:pStyle w:val="Heading1"/>
        <w:spacing w:after="160" w:before="360"/>
      </w:pPr>
      <w:r>
        <w:t xml:space="preserve">1. Product Overview</w:t>
      </w:r>
    </w:p>
    <w:p>
      <w:pPr>
        <w:spacing w:after="160"/>
      </w:pPr>
      <w:r>
        <w:t xml:space="preserve">RideShare Genesis is a human-centred, explainable ridesharing platform. Its core differentiator is Decision DNA: every match the platform suggests comes with a transparent, weighted breakdown of why it was suggested, instead of a black-box score. Riders can see and tune the weights themselves.</w:t>
      </w:r>
    </w:p>
    <w:p>
      <w:pPr>
        <w:spacing w:after="160"/>
      </w:pPr>
      <w:r>
        <w:t xml:space="preserve">V1 is a Nairobi-first pilot, priced in Kenyan shillings by default, built around mobile money as a first-class payment method rather than a retrofitted afterthought.</w:t>
      </w:r>
    </w:p>
    <w:p>
      <w:pPr>
        <w:pStyle w:val="Heading1"/>
        <w:spacing w:after="160" w:before="360"/>
      </w:pPr>
      <w:r>
        <w:t xml:space="preserve">2. Feature Set (Shipped in V1)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15142B" w:val="clear"/>
            <w:tcMar>
              <w:top w:type="dxa" w:w="100"/>
              <w:left w:type="dxa" w:w="120"/>
              <w:bottom w:type="dxa" w:w="100"/>
              <w:right w:type="dxa" w:w="120"/>
            </w:tcMar>
          </w:tcPr>
          <w:p>
            <w:r>
              <w:rPr>
                <w:b/>
                <w:bCs/>
                <w:color w:val="FFFFFF"/>
                <w:sz w:val="20"/>
                <w:szCs w:val="20"/>
              </w:rPr>
              <w:t xml:space="preserve">Area</w:t>
            </w:r>
          </w:p>
        </w:tc>
        <w:tc>
          <w:tcPr>
            <w:tcW w:type="dxa" w:w="7200"/>
            <w:shd w:fill="15142B" w:val="clear"/>
            <w:tcMar>
              <w:top w:type="dxa" w:w="100"/>
              <w:left w:type="dxa" w:w="120"/>
              <w:bottom w:type="dxa" w:w="100"/>
              <w:right w:type="dxa" w:w="120"/>
            </w:tcMar>
          </w:tcPr>
          <w:p>
            <w:r>
              <w:rPr>
                <w:b/>
                <w:bCs/>
                <w:color w:val="FFFFFF"/>
                <w:sz w:val="20"/>
                <w:szCs w:val="20"/>
              </w:rPr>
              <w:t xml:space="preserve">What is implemented</w:t>
            </w:r>
          </w:p>
        </w:tc>
      </w:tr>
      <w:tr>
        <w:tc>
          <w:tcPr>
            <w:tcW w:type="dxa" w:w="2400"/>
            <w:tcMar>
              <w:top w:type="dxa" w:w="100"/>
              <w:left w:type="dxa" w:w="120"/>
              <w:bottom w:type="dxa" w:w="100"/>
              <w:right w:type="dxa" w:w="120"/>
            </w:tcMar>
          </w:tcPr>
          <w:p>
            <w:r>
              <w:rPr>
                <w:b w:val="false"/>
                <w:bCs w:val="false"/>
                <w:color w:val="15142B"/>
                <w:sz w:val="20"/>
                <w:szCs w:val="20"/>
              </w:rPr>
              <w:t xml:space="preserve">Authentication</w:t>
            </w:r>
          </w:p>
        </w:tc>
        <w:tc>
          <w:tcPr>
            <w:tcW w:type="dxa" w:w="7200"/>
            <w:tcMar>
              <w:top w:type="dxa" w:w="100"/>
              <w:left w:type="dxa" w:w="120"/>
              <w:bottom w:type="dxa" w:w="100"/>
              <w:right w:type="dxa" w:w="120"/>
            </w:tcMar>
          </w:tcPr>
          <w:p>
            <w:r>
              <w:rPr>
                <w:b w:val="false"/>
                <w:bCs w:val="false"/>
                <w:color w:val="15142B"/>
                <w:sz w:val="20"/>
                <w:szCs w:val="20"/>
              </w:rPr>
              <w:t xml:space="preserve">Register/login (JWT + bcrypt), protected routes, self-service password reset via email, show/hide password toggle</w:t>
            </w:r>
          </w:p>
        </w:tc>
      </w:tr>
      <w:tr>
        <w:tc>
          <w:tcPr>
            <w:tcW w:type="dxa" w:w="2400"/>
            <w:tcMar>
              <w:top w:type="dxa" w:w="100"/>
              <w:left w:type="dxa" w:w="120"/>
              <w:bottom w:type="dxa" w:w="100"/>
              <w:right w:type="dxa" w:w="120"/>
            </w:tcMar>
          </w:tcPr>
          <w:p>
            <w:r>
              <w:rPr>
                <w:b w:val="false"/>
                <w:bCs w:val="false"/>
                <w:color w:val="15142B"/>
                <w:sz w:val="20"/>
                <w:szCs w:val="20"/>
              </w:rPr>
              <w:t xml:space="preserve">Profile</w:t>
            </w:r>
          </w:p>
        </w:tc>
        <w:tc>
          <w:tcPr>
            <w:tcW w:type="dxa" w:w="7200"/>
            <w:tcMar>
              <w:top w:type="dxa" w:w="100"/>
              <w:left w:type="dxa" w:w="120"/>
              <w:bottom w:type="dxa" w:w="100"/>
              <w:right w:type="dxa" w:w="120"/>
            </w:tcMar>
          </w:tcPr>
          <w:p>
            <w:r>
              <w:rPr>
                <w:b w:val="false"/>
                <w:bCs w:val="false"/>
                <w:color w:val="15142B"/>
                <w:sz w:val="20"/>
                <w:szCs w:val="20"/>
              </w:rPr>
              <w:t xml:space="preserve">Bio, ride preferences, tunable Decision DNA weights, preferred payment method, trusted emergency contact</w:t>
            </w:r>
          </w:p>
        </w:tc>
      </w:tr>
      <w:tr>
        <w:tc>
          <w:tcPr>
            <w:tcW w:type="dxa" w:w="2400"/>
            <w:tcMar>
              <w:top w:type="dxa" w:w="100"/>
              <w:left w:type="dxa" w:w="120"/>
              <w:bottom w:type="dxa" w:w="100"/>
              <w:right w:type="dxa" w:w="120"/>
            </w:tcMar>
          </w:tcPr>
          <w:p>
            <w:r>
              <w:rPr>
                <w:b w:val="false"/>
                <w:bCs w:val="false"/>
                <w:color w:val="15142B"/>
                <w:sz w:val="20"/>
                <w:szCs w:val="20"/>
              </w:rPr>
              <w:t xml:space="preserve">Find / Offer a Journey</w:t>
            </w:r>
          </w:p>
        </w:tc>
        <w:tc>
          <w:tcPr>
            <w:tcW w:type="dxa" w:w="7200"/>
            <w:tcMar>
              <w:top w:type="dxa" w:w="100"/>
              <w:left w:type="dxa" w:w="120"/>
              <w:bottom w:type="dxa" w:w="100"/>
              <w:right w:type="dxa" w:w="120"/>
            </w:tcMar>
          </w:tcPr>
          <w:p>
            <w:r>
              <w:rPr>
                <w:b w:val="false"/>
                <w:bCs w:val="false"/>
                <w:color w:val="15142B"/>
                <w:sz w:val="20"/>
                <w:szCs w:val="20"/>
              </w:rPr>
              <w:t xml:space="preserve">Request a ride scored against active offers in real time; publish a ride with seats, price, currency, and preferences</w:t>
            </w:r>
          </w:p>
        </w:tc>
      </w:tr>
      <w:tr>
        <w:tc>
          <w:tcPr>
            <w:tcW w:type="dxa" w:w="2400"/>
            <w:tcMar>
              <w:top w:type="dxa" w:w="100"/>
              <w:left w:type="dxa" w:w="120"/>
              <w:bottom w:type="dxa" w:w="100"/>
              <w:right w:type="dxa" w:w="120"/>
            </w:tcMar>
          </w:tcPr>
          <w:p>
            <w:r>
              <w:rPr>
                <w:b w:val="false"/>
                <w:bCs w:val="false"/>
                <w:color w:val="15142B"/>
                <w:sz w:val="20"/>
                <w:szCs w:val="20"/>
              </w:rPr>
              <w:t xml:space="preserve">Browse</w:t>
            </w:r>
          </w:p>
        </w:tc>
        <w:tc>
          <w:tcPr>
            <w:tcW w:type="dxa" w:w="7200"/>
            <w:tcMar>
              <w:top w:type="dxa" w:w="100"/>
              <w:left w:type="dxa" w:w="120"/>
              <w:bottom w:type="dxa" w:w="100"/>
              <w:right w:type="dxa" w:w="120"/>
            </w:tcMar>
          </w:tcPr>
          <w:p>
            <w:r>
              <w:rPr>
                <w:b w:val="false"/>
                <w:bCs w:val="false"/>
                <w:color w:val="15142B"/>
                <w:sz w:val="20"/>
                <w:szCs w:val="20"/>
              </w:rPr>
              <w:t xml:space="preserve">Public listing of available offered and requested journeys, so a free driver can see demand and post a matching offer</w:t>
            </w:r>
          </w:p>
        </w:tc>
      </w:tr>
      <w:tr>
        <w:tc>
          <w:tcPr>
            <w:tcW w:type="dxa" w:w="2400"/>
            <w:tcMar>
              <w:top w:type="dxa" w:w="100"/>
              <w:left w:type="dxa" w:w="120"/>
              <w:bottom w:type="dxa" w:w="100"/>
              <w:right w:type="dxa" w:w="120"/>
            </w:tcMar>
          </w:tcPr>
          <w:p>
            <w:r>
              <w:rPr>
                <w:b w:val="false"/>
                <w:bCs w:val="false"/>
                <w:color w:val="15142B"/>
                <w:sz w:val="20"/>
                <w:szCs w:val="20"/>
              </w:rPr>
              <w:t xml:space="preserve">Matching engine</w:t>
            </w:r>
          </w:p>
        </w:tc>
        <w:tc>
          <w:tcPr>
            <w:tcW w:type="dxa" w:w="7200"/>
            <w:tcMar>
              <w:top w:type="dxa" w:w="100"/>
              <w:left w:type="dxa" w:w="120"/>
              <w:bottom w:type="dxa" w:w="100"/>
              <w:right w:type="dxa" w:w="120"/>
            </w:tcMar>
          </w:tcPr>
          <w:p>
            <w:r>
              <w:rPr>
                <w:b w:val="false"/>
                <w:bCs w:val="false"/>
                <w:color w:val="15142B"/>
                <w:sz w:val="20"/>
                <w:szCs w:val="20"/>
              </w:rPr>
              <w:t xml:space="preserve">Explainable, weighted scoring across six factors (see Section 5)</w:t>
            </w:r>
          </w:p>
        </w:tc>
      </w:tr>
      <w:tr>
        <w:tc>
          <w:tcPr>
            <w:tcW w:type="dxa" w:w="2400"/>
            <w:tcMar>
              <w:top w:type="dxa" w:w="100"/>
              <w:left w:type="dxa" w:w="120"/>
              <w:bottom w:type="dxa" w:w="100"/>
              <w:right w:type="dxa" w:w="120"/>
            </w:tcMar>
          </w:tcPr>
          <w:p>
            <w:r>
              <w:rPr>
                <w:b w:val="false"/>
                <w:bCs w:val="false"/>
                <w:color w:val="15142B"/>
                <w:sz w:val="20"/>
                <w:szCs w:val="20"/>
              </w:rPr>
              <w:t xml:space="preserve">Booking workflow</w:t>
            </w:r>
          </w:p>
        </w:tc>
        <w:tc>
          <w:tcPr>
            <w:tcW w:type="dxa" w:w="7200"/>
            <w:tcMar>
              <w:top w:type="dxa" w:w="100"/>
              <w:left w:type="dxa" w:w="120"/>
              <w:bottom w:type="dxa" w:w="100"/>
              <w:right w:type="dxa" w:w="120"/>
            </w:tcMar>
          </w:tcPr>
          <w:p>
            <w:r>
              <w:rPr>
                <w:b w:val="false"/>
                <w:bCs w:val="false"/>
                <w:color w:val="15142B"/>
                <w:sz w:val="20"/>
                <w:szCs w:val="20"/>
              </w:rPr>
              <w:t xml:space="preserve">REQUESTED → MATCHED → BOOKING_REQUESTED → CONFIRMED → IN_PROGRESS → COMPLETED state machine, cancellable throughout; journeys are independently cancellable by their owner</w:t>
            </w:r>
          </w:p>
        </w:tc>
      </w:tr>
      <w:tr>
        <w:tc>
          <w:tcPr>
            <w:tcW w:type="dxa" w:w="2400"/>
            <w:tcMar>
              <w:top w:type="dxa" w:w="100"/>
              <w:left w:type="dxa" w:w="120"/>
              <w:bottom w:type="dxa" w:w="100"/>
              <w:right w:type="dxa" w:w="120"/>
            </w:tcMar>
          </w:tcPr>
          <w:p>
            <w:r>
              <w:rPr>
                <w:b w:val="false"/>
                <w:bCs w:val="false"/>
                <w:color w:val="15142B"/>
                <w:sz w:val="20"/>
                <w:szCs w:val="20"/>
              </w:rPr>
              <w:t xml:space="preserve">Payments</w:t>
            </w:r>
          </w:p>
        </w:tc>
        <w:tc>
          <w:tcPr>
            <w:tcW w:type="dxa" w:w="7200"/>
            <w:tcMar>
              <w:top w:type="dxa" w:w="100"/>
              <w:left w:type="dxa" w:w="120"/>
              <w:bottom w:type="dxa" w:w="100"/>
              <w:right w:type="dxa" w:w="120"/>
            </w:tcMar>
          </w:tcPr>
          <w:p>
            <w:r>
              <w:rPr>
                <w:b w:val="false"/>
                <w:bCs w:val="false"/>
                <w:color w:val="15142B"/>
                <w:sz w:val="20"/>
                <w:szCs w:val="20"/>
              </w:rPr>
              <w:t xml:space="preserve">Card / mobile money / wallet / cash via a common sandboxed provider contract, plus a real Stripe (test mode) card option; currency is mandatory and explicit on every transaction, never defaulted</w:t>
            </w:r>
          </w:p>
        </w:tc>
      </w:tr>
      <w:tr>
        <w:tc>
          <w:tcPr>
            <w:tcW w:type="dxa" w:w="2400"/>
            <w:tcMar>
              <w:top w:type="dxa" w:w="100"/>
              <w:left w:type="dxa" w:w="120"/>
              <w:bottom w:type="dxa" w:w="100"/>
              <w:right w:type="dxa" w:w="120"/>
            </w:tcMar>
          </w:tcPr>
          <w:p>
            <w:r>
              <w:rPr>
                <w:b w:val="false"/>
                <w:bCs w:val="false"/>
                <w:color w:val="15142B"/>
                <w:sz w:val="20"/>
                <w:szCs w:val="20"/>
              </w:rPr>
              <w:t xml:space="preserve">Messaging</w:t>
            </w:r>
          </w:p>
        </w:tc>
        <w:tc>
          <w:tcPr>
            <w:tcW w:type="dxa" w:w="7200"/>
            <w:tcMar>
              <w:top w:type="dxa" w:w="100"/>
              <w:left w:type="dxa" w:w="120"/>
              <w:bottom w:type="dxa" w:w="100"/>
              <w:right w:type="dxa" w:w="120"/>
            </w:tcMar>
          </w:tcPr>
          <w:p>
            <w:r>
              <w:rPr>
                <w:b w:val="false"/>
                <w:bCs w:val="false"/>
                <w:color w:val="15142B"/>
                <w:sz w:val="20"/>
                <w:szCs w:val="20"/>
              </w:rPr>
              <w:t xml:space="preserve">Per-booking real-time threads</w:t>
            </w:r>
          </w:p>
        </w:tc>
      </w:tr>
      <w:tr>
        <w:tc>
          <w:tcPr>
            <w:tcW w:type="dxa" w:w="2400"/>
            <w:tcMar>
              <w:top w:type="dxa" w:w="100"/>
              <w:left w:type="dxa" w:w="120"/>
              <w:bottom w:type="dxa" w:w="100"/>
              <w:right w:type="dxa" w:w="120"/>
            </w:tcMar>
          </w:tcPr>
          <w:p>
            <w:r>
              <w:rPr>
                <w:b w:val="false"/>
                <w:bCs w:val="false"/>
                <w:color w:val="15142B"/>
                <w:sz w:val="20"/>
                <w:szCs w:val="20"/>
              </w:rPr>
              <w:t xml:space="preserve">My Journeys</w:t>
            </w:r>
          </w:p>
        </w:tc>
        <w:tc>
          <w:tcPr>
            <w:tcW w:type="dxa" w:w="7200"/>
            <w:tcMar>
              <w:top w:type="dxa" w:w="100"/>
              <w:left w:type="dxa" w:w="120"/>
              <w:bottom w:type="dxa" w:w="100"/>
              <w:right w:type="dxa" w:w="120"/>
            </w:tcMar>
          </w:tcPr>
          <w:p>
            <w:r>
              <w:rPr>
                <w:b w:val="false"/>
                <w:bCs w:val="false"/>
                <w:color w:val="15142B"/>
                <w:sz w:val="20"/>
                <w:szCs w:val="20"/>
              </w:rPr>
              <w:t xml:space="preserve">Dashboard of a user’s own bookings and published journeys</w:t>
            </w:r>
          </w:p>
        </w:tc>
      </w:tr>
      <w:tr>
        <w:tc>
          <w:tcPr>
            <w:tcW w:type="dxa" w:w="2400"/>
            <w:tcMar>
              <w:top w:type="dxa" w:w="100"/>
              <w:left w:type="dxa" w:w="120"/>
              <w:bottom w:type="dxa" w:w="100"/>
              <w:right w:type="dxa" w:w="120"/>
            </w:tcMar>
          </w:tcPr>
          <w:p>
            <w:r>
              <w:rPr>
                <w:b w:val="false"/>
                <w:bCs w:val="false"/>
                <w:color w:val="15142B"/>
                <w:sz w:val="20"/>
                <w:szCs w:val="20"/>
              </w:rPr>
              <w:t xml:space="preserve">Genesis AI assistant</w:t>
            </w:r>
          </w:p>
        </w:tc>
        <w:tc>
          <w:tcPr>
            <w:tcW w:type="dxa" w:w="7200"/>
            <w:tcMar>
              <w:top w:type="dxa" w:w="100"/>
              <w:left w:type="dxa" w:w="120"/>
              <w:bottom w:type="dxa" w:w="100"/>
              <w:right w:type="dxa" w:w="120"/>
            </w:tcMar>
          </w:tcPr>
          <w:p>
            <w:r>
              <w:rPr>
                <w:b w:val="false"/>
                <w:bCs w:val="false"/>
                <w:color w:val="15142B"/>
                <w:sz w:val="20"/>
                <w:szCs w:val="20"/>
              </w:rPr>
              <w:t xml:space="preserve">In-app assistant; deterministic rule-based answers by default, optionally enriched by the Anthropic API; detects search/offer intent and links straight to the relevant page</w:t>
            </w:r>
          </w:p>
        </w:tc>
      </w:tr>
      <w:tr>
        <w:tc>
          <w:tcPr>
            <w:tcW w:type="dxa" w:w="2400"/>
            <w:tcMar>
              <w:top w:type="dxa" w:w="100"/>
              <w:left w:type="dxa" w:w="120"/>
              <w:bottom w:type="dxa" w:w="100"/>
              <w:right w:type="dxa" w:w="120"/>
            </w:tcMar>
          </w:tcPr>
          <w:p>
            <w:r>
              <w:rPr>
                <w:b w:val="false"/>
                <w:bCs w:val="false"/>
                <w:color w:val="15142B"/>
                <w:sz w:val="20"/>
                <w:szCs w:val="20"/>
              </w:rPr>
              <w:t xml:space="preserve">Feedback widget</w:t>
            </w:r>
          </w:p>
        </w:tc>
        <w:tc>
          <w:tcPr>
            <w:tcW w:type="dxa" w:w="7200"/>
            <w:tcMar>
              <w:top w:type="dxa" w:w="100"/>
              <w:left w:type="dxa" w:w="120"/>
              <w:bottom w:type="dxa" w:w="100"/>
              <w:right w:type="dxa" w:w="120"/>
            </w:tcMar>
          </w:tcPr>
          <w:p>
            <w:r>
              <w:rPr>
                <w:b w:val="false"/>
                <w:bCs w:val="false"/>
                <w:color w:val="15142B"/>
                <w:sz w:val="20"/>
                <w:szCs w:val="20"/>
              </w:rPr>
              <w:t xml:space="preserve">No-login-required feedback form on every page, feeding the admin dashboard</w:t>
            </w:r>
          </w:p>
        </w:tc>
      </w:tr>
      <w:tr>
        <w:tc>
          <w:tcPr>
            <w:tcW w:type="dxa" w:w="2400"/>
            <w:tcMar>
              <w:top w:type="dxa" w:w="100"/>
              <w:left w:type="dxa" w:w="120"/>
              <w:bottom w:type="dxa" w:w="100"/>
              <w:right w:type="dxa" w:w="120"/>
            </w:tcMar>
          </w:tcPr>
          <w:p>
            <w:r>
              <w:rPr>
                <w:b w:val="false"/>
                <w:bCs w:val="false"/>
                <w:color w:val="15142B"/>
                <w:sz w:val="20"/>
                <w:szCs w:val="20"/>
              </w:rPr>
              <w:t xml:space="preserve">Safety Centre</w:t>
            </w:r>
          </w:p>
        </w:tc>
        <w:tc>
          <w:tcPr>
            <w:tcW w:type="dxa" w:w="7200"/>
            <w:tcMar>
              <w:top w:type="dxa" w:w="100"/>
              <w:left w:type="dxa" w:w="120"/>
              <w:bottom w:type="dxa" w:w="100"/>
              <w:right w:type="dxa" w:w="120"/>
            </w:tcMar>
          </w:tcPr>
          <w:p>
            <w:r>
              <w:rPr>
                <w:b w:val="false"/>
                <w:bCs w:val="false"/>
                <w:color w:val="15142B"/>
                <w:sz w:val="20"/>
                <w:szCs w:val="20"/>
              </w:rPr>
              <w:t xml:space="preserve">One-tap SOS, incident reporting, trusted contact, case history</w:t>
            </w:r>
          </w:p>
        </w:tc>
      </w:tr>
      <w:tr>
        <w:tc>
          <w:tcPr>
            <w:tcW w:type="dxa" w:w="2400"/>
            <w:tcMar>
              <w:top w:type="dxa" w:w="100"/>
              <w:left w:type="dxa" w:w="120"/>
              <w:bottom w:type="dxa" w:w="100"/>
              <w:right w:type="dxa" w:w="120"/>
            </w:tcMar>
          </w:tcPr>
          <w:p>
            <w:r>
              <w:rPr>
                <w:b w:val="false"/>
                <w:bCs w:val="false"/>
                <w:color w:val="15142B"/>
                <w:sz w:val="20"/>
                <w:szCs w:val="20"/>
              </w:rPr>
              <w:t xml:space="preserve">Governance</w:t>
            </w:r>
          </w:p>
        </w:tc>
        <w:tc>
          <w:tcPr>
            <w:tcW w:type="dxa" w:w="7200"/>
            <w:tcMar>
              <w:top w:type="dxa" w:w="100"/>
              <w:left w:type="dxa" w:w="120"/>
              <w:bottom w:type="dxa" w:w="100"/>
              <w:right w:type="dxa" w:w="120"/>
            </w:tcMar>
          </w:tcPr>
          <w:p>
            <w:r>
              <w:rPr>
                <w:b w:val="false"/>
                <w:bCs w:val="false"/>
                <w:color w:val="15142B"/>
                <w:sz w:val="20"/>
                <w:szCs w:val="20"/>
              </w:rPr>
              <w:t xml:space="preserve">Full audit trail behind every sensitive state change</w:t>
            </w:r>
          </w:p>
        </w:tc>
      </w:tr>
      <w:tr>
        <w:tc>
          <w:tcPr>
            <w:tcW w:type="dxa" w:w="2400"/>
            <w:tcMar>
              <w:top w:type="dxa" w:w="100"/>
              <w:left w:type="dxa" w:w="120"/>
              <w:bottom w:type="dxa" w:w="100"/>
              <w:right w:type="dxa" w:w="120"/>
            </w:tcMar>
          </w:tcPr>
          <w:p>
            <w:r>
              <w:rPr>
                <w:b w:val="false"/>
                <w:bCs w:val="false"/>
                <w:color w:val="15142B"/>
                <w:sz w:val="20"/>
                <w:szCs w:val="20"/>
              </w:rPr>
              <w:t xml:space="preserve">Environmental impact</w:t>
            </w:r>
          </w:p>
        </w:tc>
        <w:tc>
          <w:tcPr>
            <w:tcW w:type="dxa" w:w="7200"/>
            <w:tcMar>
              <w:top w:type="dxa" w:w="100"/>
              <w:left w:type="dxa" w:w="120"/>
              <w:bottom w:type="dxa" w:w="100"/>
              <w:right w:type="dxa" w:w="120"/>
            </w:tcMar>
          </w:tcPr>
          <w:p>
            <w:r>
              <w:rPr>
                <w:b w:val="false"/>
                <w:bCs w:val="false"/>
                <w:color w:val="15142B"/>
                <w:sz w:val="20"/>
                <w:szCs w:val="20"/>
              </w:rPr>
              <w:t xml:space="preserve">Vehicle-occupancy-and-fuel-type factor in Decision DNA, an estimated CO2e/fuel/vehicle-km figure on every completed booking, and a platform-wide impact tile in the admin dashboard</w:t>
            </w:r>
          </w:p>
        </w:tc>
      </w:tr>
      <w:tr>
        <w:tc>
          <w:tcPr>
            <w:tcW w:type="dxa" w:w="2400"/>
            <w:tcMar>
              <w:top w:type="dxa" w:w="100"/>
              <w:left w:type="dxa" w:w="120"/>
              <w:bottom w:type="dxa" w:w="100"/>
              <w:right w:type="dxa" w:w="120"/>
            </w:tcMar>
          </w:tcPr>
          <w:p>
            <w:r>
              <w:rPr>
                <w:b w:val="false"/>
                <w:bCs w:val="false"/>
                <w:color w:val="15142B"/>
                <w:sz w:val="20"/>
                <w:szCs w:val="20"/>
              </w:rPr>
              <w:t xml:space="preserve">Admin dashboard</w:t>
            </w:r>
          </w:p>
        </w:tc>
        <w:tc>
          <w:tcPr>
            <w:tcW w:type="dxa" w:w="7200"/>
            <w:tcMar>
              <w:top w:type="dxa" w:w="100"/>
              <w:left w:type="dxa" w:w="120"/>
              <w:bottom w:type="dxa" w:w="100"/>
              <w:right w:type="dxa" w:w="120"/>
            </w:tcMar>
          </w:tcPr>
          <w:p>
            <w:r>
              <w:rPr>
                <w:b w:val="false"/>
                <w:bCs w:val="false"/>
                <w:color w:val="15142B"/>
                <w:sz w:val="20"/>
                <w:szCs w:val="20"/>
              </w:rPr>
              <w:t xml:space="preserve">Password-token-gated live metrics (page views, signups, bookings, revenue by currency, environmental impact, feedback), auto-refreshing every 7 seconds</w:t>
            </w:r>
          </w:p>
        </w:tc>
      </w:tr>
    </w:tbl>
    <w:p>
      <w:pPr>
        <w:pStyle w:val="Heading1"/>
        <w:spacing w:after="160" w:before="360"/>
      </w:pPr>
      <w:r>
        <w:t xml:space="preserve">3. System Architecture</w:t>
      </w:r>
    </w:p>
    <w:p>
      <w:pPr>
        <w:spacing w:after="160"/>
      </w:pPr>
      <w:r>
        <w:t xml:space="preserve">RideShare Genesis is built and maintained as two parallel, functionally-identical implementations sharing the same data schema, matching logic, and test suite: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000"/>
      </w:tblGrid>
      <w:tr>
        <w:trPr>
          <w:tblHeader/>
        </w:trPr>
        <w:tc>
          <w:tcPr>
            <w:tcW w:type="dxa" w:w="2000"/>
            <w:shd w:fill="15142B" w:val="clear"/>
            <w:tcMar>
              <w:top w:type="dxa" w:w="100"/>
              <w:left w:type="dxa" w:w="120"/>
              <w:bottom w:type="dxa" w:w="100"/>
              <w:right w:type="dxa" w:w="120"/>
            </w:tcMar>
          </w:tcPr>
          <w:p>
            <w:r>
              <w:rPr>
                <w:b/>
                <w:bCs/>
                <w:color w:val="FFFFFF"/>
                <w:sz w:val="20"/>
                <w:szCs w:val="20"/>
              </w:rPr>
              <w:t xml:space="preserve"/>
            </w:r>
          </w:p>
        </w:tc>
        <w:tc>
          <w:tcPr>
            <w:tcW w:type="dxa" w:w="3600"/>
            <w:shd w:fill="15142B" w:val="clear"/>
            <w:tcMar>
              <w:top w:type="dxa" w:w="100"/>
              <w:left w:type="dxa" w:w="120"/>
              <w:bottom w:type="dxa" w:w="100"/>
              <w:right w:type="dxa" w:w="120"/>
            </w:tcMar>
          </w:tcPr>
          <w:p>
            <w:r>
              <w:rPr>
                <w:b/>
                <w:bCs/>
                <w:color w:val="FFFFFF"/>
                <w:sz w:val="20"/>
                <w:szCs w:val="20"/>
              </w:rPr>
              <w:t xml:space="preserve">Reference implementation</w:t>
            </w:r>
          </w:p>
        </w:tc>
        <w:tc>
          <w:tcPr>
            <w:tcW w:type="dxa" w:w="4000"/>
            <w:shd w:fill="15142B" w:val="clear"/>
            <w:tcMar>
              <w:top w:type="dxa" w:w="100"/>
              <w:left w:type="dxa" w:w="120"/>
              <w:bottom w:type="dxa" w:w="100"/>
              <w:right w:type="dxa" w:w="120"/>
            </w:tcMar>
          </w:tcPr>
          <w:p>
            <w:r>
              <w:rPr>
                <w:b/>
                <w:bCs/>
                <w:color w:val="FFFFFF"/>
                <w:sz w:val="20"/>
                <w:szCs w:val="20"/>
              </w:rPr>
              <w:t xml:space="preserve">Production deployment</w:t>
            </w:r>
          </w:p>
        </w:tc>
      </w:tr>
      <w:tr>
        <w:tc>
          <w:tcPr>
            <w:tcW w:type="dxa" w:w="2000"/>
            <w:tcMar>
              <w:top w:type="dxa" w:w="100"/>
              <w:left w:type="dxa" w:w="120"/>
              <w:bottom w:type="dxa" w:w="100"/>
              <w:right w:type="dxa" w:w="120"/>
            </w:tcMar>
          </w:tcPr>
          <w:p>
            <w:r>
              <w:rPr>
                <w:b w:val="false"/>
                <w:bCs w:val="false"/>
                <w:color w:val="15142B"/>
                <w:sz w:val="20"/>
                <w:szCs w:val="20"/>
              </w:rPr>
              <w:t xml:space="preserve">Runtime</w:t>
            </w:r>
          </w:p>
        </w:tc>
        <w:tc>
          <w:tcPr>
            <w:tcW w:type="dxa" w:w="3600"/>
            <w:tcMar>
              <w:top w:type="dxa" w:w="100"/>
              <w:left w:type="dxa" w:w="120"/>
              <w:bottom w:type="dxa" w:w="100"/>
              <w:right w:type="dxa" w:w="120"/>
            </w:tcMar>
          </w:tcPr>
          <w:p>
            <w:r>
              <w:rPr>
                <w:b w:val="false"/>
                <w:bCs w:val="false"/>
                <w:color w:val="15142B"/>
                <w:sz w:val="20"/>
                <w:szCs w:val="20"/>
              </w:rPr>
              <w:t xml:space="preserve">Node.js + Express</w:t>
            </w:r>
          </w:p>
        </w:tc>
        <w:tc>
          <w:tcPr>
            <w:tcW w:type="dxa" w:w="4000"/>
            <w:tcMar>
              <w:top w:type="dxa" w:w="100"/>
              <w:left w:type="dxa" w:w="120"/>
              <w:bottom w:type="dxa" w:w="100"/>
              <w:right w:type="dxa" w:w="120"/>
            </w:tcMar>
          </w:tcPr>
          <w:p>
            <w:r>
              <w:rPr>
                <w:b w:val="false"/>
                <w:bCs w:val="false"/>
                <w:color w:val="15142B"/>
                <w:sz w:val="20"/>
                <w:szCs w:val="20"/>
              </w:rPr>
              <w:t xml:space="preserve">Cloudflare Workers (Hono)</w:t>
            </w:r>
          </w:p>
        </w:tc>
      </w:tr>
      <w:tr>
        <w:tc>
          <w:tcPr>
            <w:tcW w:type="dxa" w:w="2000"/>
            <w:tcMar>
              <w:top w:type="dxa" w:w="100"/>
              <w:left w:type="dxa" w:w="120"/>
              <w:bottom w:type="dxa" w:w="100"/>
              <w:right w:type="dxa" w:w="120"/>
            </w:tcMar>
          </w:tcPr>
          <w:p>
            <w:r>
              <w:rPr>
                <w:b w:val="false"/>
                <w:bCs w:val="false"/>
                <w:color w:val="15142B"/>
                <w:sz w:val="20"/>
                <w:szCs w:val="20"/>
              </w:rPr>
              <w:t xml:space="preserve">Database</w:t>
            </w:r>
          </w:p>
        </w:tc>
        <w:tc>
          <w:tcPr>
            <w:tcW w:type="dxa" w:w="3600"/>
            <w:tcMar>
              <w:top w:type="dxa" w:w="100"/>
              <w:left w:type="dxa" w:w="120"/>
              <w:bottom w:type="dxa" w:w="100"/>
              <w:right w:type="dxa" w:w="120"/>
            </w:tcMar>
          </w:tcPr>
          <w:p>
            <w:r>
              <w:rPr>
                <w:b w:val="false"/>
                <w:bCs w:val="false"/>
                <w:color w:val="15142B"/>
                <w:sz w:val="20"/>
                <w:szCs w:val="20"/>
              </w:rPr>
              <w:t xml:space="preserve">SQLite (better-sqlite3)</w:t>
            </w:r>
          </w:p>
        </w:tc>
        <w:tc>
          <w:tcPr>
            <w:tcW w:type="dxa" w:w="4000"/>
            <w:tcMar>
              <w:top w:type="dxa" w:w="100"/>
              <w:left w:type="dxa" w:w="120"/>
              <w:bottom w:type="dxa" w:w="100"/>
              <w:right w:type="dxa" w:w="120"/>
            </w:tcMar>
          </w:tcPr>
          <w:p>
            <w:r>
              <w:rPr>
                <w:b w:val="false"/>
                <w:bCs w:val="false"/>
                <w:color w:val="15142B"/>
                <w:sz w:val="20"/>
                <w:szCs w:val="20"/>
              </w:rPr>
              <w:t xml:space="preserve">Cloudflare D1</w:t>
            </w:r>
          </w:p>
        </w:tc>
      </w:tr>
      <w:tr>
        <w:tc>
          <w:tcPr>
            <w:tcW w:type="dxa" w:w="2000"/>
            <w:tcMar>
              <w:top w:type="dxa" w:w="100"/>
              <w:left w:type="dxa" w:w="120"/>
              <w:bottom w:type="dxa" w:w="100"/>
              <w:right w:type="dxa" w:w="120"/>
            </w:tcMar>
          </w:tcPr>
          <w:p>
            <w:r>
              <w:rPr>
                <w:b w:val="false"/>
                <w:bCs w:val="false"/>
                <w:color w:val="15142B"/>
                <w:sz w:val="20"/>
                <w:szCs w:val="20"/>
              </w:rPr>
              <w:t xml:space="preserve">Real-time chat</w:t>
            </w:r>
          </w:p>
        </w:tc>
        <w:tc>
          <w:tcPr>
            <w:tcW w:type="dxa" w:w="3600"/>
            <w:tcMar>
              <w:top w:type="dxa" w:w="100"/>
              <w:left w:type="dxa" w:w="120"/>
              <w:bottom w:type="dxa" w:w="100"/>
              <w:right w:type="dxa" w:w="120"/>
            </w:tcMar>
          </w:tcPr>
          <w:p>
            <w:r>
              <w:rPr>
                <w:b w:val="false"/>
                <w:bCs w:val="false"/>
                <w:color w:val="15142B"/>
                <w:sz w:val="20"/>
                <w:szCs w:val="20"/>
              </w:rPr>
              <w:t xml:space="preserve">Socket.IO</w:t>
            </w:r>
          </w:p>
        </w:tc>
        <w:tc>
          <w:tcPr>
            <w:tcW w:type="dxa" w:w="4000"/>
            <w:tcMar>
              <w:top w:type="dxa" w:w="100"/>
              <w:left w:type="dxa" w:w="120"/>
              <w:bottom w:type="dxa" w:w="100"/>
              <w:right w:type="dxa" w:w="120"/>
            </w:tcMar>
          </w:tcPr>
          <w:p>
            <w:r>
              <w:rPr>
                <w:b w:val="false"/>
                <w:bCs w:val="false"/>
                <w:color w:val="15142B"/>
                <w:sz w:val="20"/>
                <w:szCs w:val="20"/>
              </w:rPr>
              <w:t xml:space="preserve">A Durable Object per booking</w:t>
            </w:r>
          </w:p>
        </w:tc>
      </w:tr>
      <w:tr>
        <w:tc>
          <w:tcPr>
            <w:tcW w:type="dxa" w:w="2000"/>
            <w:tcMar>
              <w:top w:type="dxa" w:w="100"/>
              <w:left w:type="dxa" w:w="120"/>
              <w:bottom w:type="dxa" w:w="100"/>
              <w:right w:type="dxa" w:w="120"/>
            </w:tcMar>
          </w:tcPr>
          <w:p>
            <w:r>
              <w:rPr>
                <w:b w:val="false"/>
                <w:bCs w:val="false"/>
                <w:color w:val="15142B"/>
                <w:sz w:val="20"/>
                <w:szCs w:val="20"/>
              </w:rPr>
              <w:t xml:space="preserve">Frontend hosting</w:t>
            </w:r>
          </w:p>
        </w:tc>
        <w:tc>
          <w:tcPr>
            <w:tcW w:type="dxa" w:w="3600"/>
            <w:tcMar>
              <w:top w:type="dxa" w:w="100"/>
              <w:left w:type="dxa" w:w="120"/>
              <w:bottom w:type="dxa" w:w="100"/>
              <w:right w:type="dxa" w:w="120"/>
            </w:tcMar>
          </w:tcPr>
          <w:p>
            <w:r>
              <w:rPr>
                <w:b w:val="false"/>
                <w:bCs w:val="false"/>
                <w:color w:val="15142B"/>
                <w:sz w:val="20"/>
                <w:szCs w:val="20"/>
              </w:rPr>
              <w:t xml:space="preserve">nginx (Docker) / Vite dev server</w:t>
            </w:r>
          </w:p>
        </w:tc>
        <w:tc>
          <w:tcPr>
            <w:tcW w:type="dxa" w:w="4000"/>
            <w:tcMar>
              <w:top w:type="dxa" w:w="100"/>
              <w:left w:type="dxa" w:w="120"/>
              <w:bottom w:type="dxa" w:w="100"/>
              <w:right w:type="dxa" w:w="120"/>
            </w:tcMar>
          </w:tcPr>
          <w:p>
            <w:r>
              <w:rPr>
                <w:b w:val="false"/>
                <w:bCs w:val="false"/>
                <w:color w:val="15142B"/>
                <w:sz w:val="20"/>
                <w:szCs w:val="20"/>
              </w:rPr>
              <w:t xml:space="preserve">Served as static assets from the same Worker origin</w:t>
            </w:r>
          </w:p>
        </w:tc>
      </w:tr>
      <w:tr>
        <w:tc>
          <w:tcPr>
            <w:tcW w:type="dxa" w:w="2000"/>
            <w:tcMar>
              <w:top w:type="dxa" w:w="100"/>
              <w:left w:type="dxa" w:w="120"/>
              <w:bottom w:type="dxa" w:w="100"/>
              <w:right w:type="dxa" w:w="120"/>
            </w:tcMar>
          </w:tcPr>
          <w:p>
            <w:r>
              <w:rPr>
                <w:b w:val="false"/>
                <w:bCs w:val="false"/>
                <w:color w:val="15142B"/>
                <w:sz w:val="20"/>
                <w:szCs w:val="20"/>
              </w:rPr>
              <w:t xml:space="preserve">Used for</w:t>
            </w:r>
          </w:p>
        </w:tc>
        <w:tc>
          <w:tcPr>
            <w:tcW w:type="dxa" w:w="3600"/>
            <w:tcMar>
              <w:top w:type="dxa" w:w="100"/>
              <w:left w:type="dxa" w:w="120"/>
              <w:bottom w:type="dxa" w:w="100"/>
              <w:right w:type="dxa" w:w="120"/>
            </w:tcMar>
          </w:tcPr>
          <w:p>
            <w:r>
              <w:rPr>
                <w:b w:val="false"/>
                <w:bCs w:val="false"/>
                <w:color w:val="15142B"/>
                <w:sz w:val="20"/>
                <w:szCs w:val="20"/>
              </w:rPr>
              <w:t xml:space="preserve">Local development, self-hosting, rapid iteration</w:t>
            </w:r>
          </w:p>
        </w:tc>
        <w:tc>
          <w:tcPr>
            <w:tcW w:type="dxa" w:w="4000"/>
            <w:tcMar>
              <w:top w:type="dxa" w:w="100"/>
              <w:left w:type="dxa" w:w="120"/>
              <w:bottom w:type="dxa" w:w="100"/>
              <w:right w:type="dxa" w:w="120"/>
            </w:tcMar>
          </w:tcPr>
          <w:p>
            <w:r>
              <w:rPr>
                <w:b w:val="false"/>
                <w:bCs w:val="false"/>
                <w:color w:val="15142B"/>
                <w:sz w:val="20"/>
                <w:szCs w:val="20"/>
              </w:rPr>
              <w:t xml:space="preserve">The live, production instance of the app</w:t>
            </w:r>
          </w:p>
        </w:tc>
      </w:tr>
    </w:tbl>
    <w:p>
      <w:pPr>
        <w:spacing w:after="160"/>
      </w:pPr>
      <w:r>
        <w:t xml:space="preserve">This dual-runtime approach means every feature is built twice, once per runtime, and both are covered by the same 39-test automated suite before either ships — the production Workers deployment is never a stripped-down or lagging version of the reference implementation.</w:t>
      </w:r>
    </w:p>
    <w:p>
      <w:pPr>
        <w:pStyle w:val="Heading1"/>
        <w:spacing w:after="160" w:before="360"/>
      </w:pPr>
      <w:r>
        <w:t xml:space="preserve">4. Data Model</w:t>
      </w:r>
    </w:p>
    <w:p>
      <w:pPr>
        <w:spacing w:after="160"/>
      </w:pPr>
      <w:r>
        <w:t xml:space="preserve">Core tables, present in both the SQLite reference schema and the D1 production schema:</w:t>
      </w:r>
    </w:p>
    <w:p>
      <w:pPr>
        <w:pStyle w:val="ListParagraph"/>
        <w:numPr>
          <w:ilvl w:val="0"/>
          <w:numId w:val="2"/>
        </w:numPr>
        <w:spacing w:after="80"/>
      </w:pPr>
      <w:r>
        <w:t xml:space="preserve">users, profiles — accounts, preferences, and per-rider Decision DNA weights</w:t>
      </w:r>
    </w:p>
    <w:p>
      <w:pPr>
        <w:pStyle w:val="ListParagraph"/>
        <w:numPr>
          <w:ilvl w:val="0"/>
          <w:numId w:val="2"/>
        </w:numPr>
        <w:spacing w:after="80"/>
      </w:pPr>
      <w:r>
        <w:t xml:space="preserve">journeys — offered and requested trips (origin, destination, time, seats, price, currency, preferences, vehicle type)</w:t>
      </w:r>
    </w:p>
    <w:p>
      <w:pPr>
        <w:pStyle w:val="ListParagraph"/>
        <w:numPr>
          <w:ilvl w:val="0"/>
          <w:numId w:val="2"/>
        </w:numPr>
        <w:spacing w:after="80"/>
      </w:pPr>
      <w:r>
        <w:t xml:space="preserve">matches — scored offer/request pairings with a stored Decision DNA breakdown</w:t>
      </w:r>
    </w:p>
    <w:p>
      <w:pPr>
        <w:pStyle w:val="ListParagraph"/>
        <w:numPr>
          <w:ilvl w:val="0"/>
          <w:numId w:val="2"/>
        </w:numPr>
        <w:spacing w:after="80"/>
      </w:pPr>
      <w:r>
        <w:t xml:space="preserve">bookings — the booking state machine and its status history</w:t>
      </w:r>
    </w:p>
    <w:p>
      <w:pPr>
        <w:pStyle w:val="ListParagraph"/>
        <w:numPr>
          <w:ilvl w:val="0"/>
          <w:numId w:val="2"/>
        </w:numPr>
        <w:spacing w:after="80"/>
      </w:pPr>
      <w:r>
        <w:t xml:space="preserve">payments — one row per payment attempt, storing the commission rate that applied at the time of capture</w:t>
      </w:r>
    </w:p>
    <w:p>
      <w:pPr>
        <w:pStyle w:val="ListParagraph"/>
        <w:numPr>
          <w:ilvl w:val="0"/>
          <w:numId w:val="2"/>
        </w:numPr>
        <w:spacing w:after="80"/>
      </w:pPr>
      <w:r>
        <w:t xml:space="preserve">messages — per-booking chat history</w:t>
      </w:r>
    </w:p>
    <w:p>
      <w:pPr>
        <w:pStyle w:val="ListParagraph"/>
        <w:numPr>
          <w:ilvl w:val="0"/>
          <w:numId w:val="2"/>
        </w:numPr>
        <w:spacing w:after="80"/>
      </w:pPr>
      <w:r>
        <w:t xml:space="preserve">safety_cases — SOS and incident reports, with resolution state</w:t>
      </w:r>
    </w:p>
    <w:p>
      <w:pPr>
        <w:pStyle w:val="ListParagraph"/>
        <w:numPr>
          <w:ilvl w:val="0"/>
          <w:numId w:val="2"/>
        </w:numPr>
        <w:spacing w:after="80"/>
      </w:pPr>
      <w:r>
        <w:t xml:space="preserve">audit_events — an immutable log of sensitive state changes, for accountability and incident investigation</w:t>
      </w:r>
    </w:p>
    <w:p>
      <w:pPr>
        <w:pStyle w:val="ListParagraph"/>
        <w:numPr>
          <w:ilvl w:val="0"/>
          <w:numId w:val="2"/>
        </w:numPr>
        <w:spacing w:after="80"/>
      </w:pPr>
      <w:r>
        <w:t xml:space="preserve">page_events, feedback, password_resets — product-analytics, public feedback, and password-reset-token tables, self-provisioned in production without a manual migration step</w:t>
      </w:r>
    </w:p>
    <w:p>
      <w:r>
        <w:br w:type="page"/>
      </w:r>
    </w:p>
    <w:p>
      <w:pPr>
        <w:pStyle w:val="Heading1"/>
        <w:spacing w:after="160" w:before="360"/>
      </w:pPr>
      <w:r>
        <w:t xml:space="preserve">5. Decision DNA Matching Engine</w:t>
      </w:r>
    </w:p>
    <w:p>
      <w:pPr>
        <w:spacing w:after="160"/>
      </w:pPr>
      <w:r>
        <w:t xml:space="preserve">Every candidate match is scored transparently across six weighted factors. The weights are never hidden — they are the rider’s own settings, shown back to them on every match.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00"/>
      </w:tblGrid>
      <w:tr>
        <w:trPr>
          <w:tblHeader/>
        </w:trPr>
        <w:tc>
          <w:tcPr>
            <w:tcW w:type="dxa" w:w="2400"/>
            <w:shd w:fill="15142B" w:val="clear"/>
            <w:tcMar>
              <w:top w:type="dxa" w:w="100"/>
              <w:left w:type="dxa" w:w="120"/>
              <w:bottom w:type="dxa" w:w="100"/>
              <w:right w:type="dxa" w:w="120"/>
            </w:tcMar>
          </w:tcPr>
          <w:p>
            <w:r>
              <w:rPr>
                <w:b/>
                <w:bCs/>
                <w:color w:val="FFFFFF"/>
                <w:sz w:val="20"/>
                <w:szCs w:val="20"/>
              </w:rPr>
              <w:t xml:space="preserve">Factor</w:t>
            </w:r>
          </w:p>
        </w:tc>
        <w:tc>
          <w:tcPr>
            <w:tcW w:type="dxa" w:w="1800"/>
            <w:shd w:fill="15142B" w:val="clear"/>
            <w:tcMar>
              <w:top w:type="dxa" w:w="100"/>
              <w:left w:type="dxa" w:w="120"/>
              <w:bottom w:type="dxa" w:w="100"/>
              <w:right w:type="dxa" w:w="120"/>
            </w:tcMar>
          </w:tcPr>
          <w:p>
            <w:r>
              <w:rPr>
                <w:b/>
                <w:bCs/>
                <w:color w:val="FFFFFF"/>
                <w:sz w:val="20"/>
                <w:szCs w:val="20"/>
              </w:rPr>
              <w:t xml:space="preserve">Default weight</w:t>
            </w:r>
          </w:p>
        </w:tc>
        <w:tc>
          <w:tcPr>
            <w:tcW w:type="dxa" w:w="5400"/>
            <w:shd w:fill="15142B" w:val="clear"/>
            <w:tcMar>
              <w:top w:type="dxa" w:w="100"/>
              <w:left w:type="dxa" w:w="120"/>
              <w:bottom w:type="dxa" w:w="100"/>
              <w:right w:type="dxa" w:w="120"/>
            </w:tcMar>
          </w:tcPr>
          <w:p>
            <w:r>
              <w:rPr>
                <w:b/>
                <w:bCs/>
                <w:color w:val="FFFFFF"/>
                <w:sz w:val="20"/>
                <w:szCs w:val="20"/>
              </w:rPr>
              <w:t xml:space="preserve">What it measures</w:t>
            </w:r>
          </w:p>
        </w:tc>
      </w:tr>
      <w:tr>
        <w:tc>
          <w:tcPr>
            <w:tcW w:type="dxa" w:w="2400"/>
            <w:tcMar>
              <w:top w:type="dxa" w:w="100"/>
              <w:left w:type="dxa" w:w="120"/>
              <w:bottom w:type="dxa" w:w="100"/>
              <w:right w:type="dxa" w:w="120"/>
            </w:tcMar>
          </w:tcPr>
          <w:p>
            <w:r>
              <w:rPr>
                <w:b w:val="false"/>
                <w:bCs w:val="false"/>
                <w:color w:val="15142B"/>
                <w:sz w:val="20"/>
                <w:szCs w:val="20"/>
              </w:rPr>
              <w:t xml:space="preserve">Proximity</w:t>
            </w:r>
          </w:p>
        </w:tc>
        <w:tc>
          <w:tcPr>
            <w:tcW w:type="dxa" w:w="1800"/>
            <w:tcMar>
              <w:top w:type="dxa" w:w="100"/>
              <w:left w:type="dxa" w:w="120"/>
              <w:bottom w:type="dxa" w:w="100"/>
              <w:right w:type="dxa" w:w="120"/>
            </w:tcMar>
          </w:tcPr>
          <w:p>
            <w:r>
              <w:rPr>
                <w:b w:val="false"/>
                <w:bCs w:val="false"/>
                <w:color w:val="15142B"/>
                <w:sz w:val="20"/>
                <w:szCs w:val="20"/>
              </w:rPr>
              <w:t xml:space="preserve">32%</w:t>
            </w:r>
          </w:p>
        </w:tc>
        <w:tc>
          <w:tcPr>
            <w:tcW w:type="dxa" w:w="5400"/>
            <w:tcMar>
              <w:top w:type="dxa" w:w="100"/>
              <w:left w:type="dxa" w:w="120"/>
              <w:bottom w:type="dxa" w:w="100"/>
              <w:right w:type="dxa" w:w="120"/>
            </w:tcMar>
          </w:tcPr>
          <w:p>
            <w:r>
              <w:rPr>
                <w:b w:val="false"/>
                <w:bCs w:val="false"/>
                <w:color w:val="15142B"/>
                <w:sz w:val="20"/>
                <w:szCs w:val="20"/>
              </w:rPr>
              <w:t xml:space="preserve">Average origin/destination gap between request and offer</w:t>
            </w:r>
          </w:p>
        </w:tc>
      </w:tr>
      <w:tr>
        <w:tc>
          <w:tcPr>
            <w:tcW w:type="dxa" w:w="2400"/>
            <w:tcMar>
              <w:top w:type="dxa" w:w="100"/>
              <w:left w:type="dxa" w:w="120"/>
              <w:bottom w:type="dxa" w:w="100"/>
              <w:right w:type="dxa" w:w="120"/>
            </w:tcMar>
          </w:tcPr>
          <w:p>
            <w:r>
              <w:rPr>
                <w:b w:val="false"/>
                <w:bCs w:val="false"/>
                <w:color w:val="15142B"/>
                <w:sz w:val="20"/>
                <w:szCs w:val="20"/>
              </w:rPr>
              <w:t xml:space="preserve">Timing</w:t>
            </w:r>
          </w:p>
        </w:tc>
        <w:tc>
          <w:tcPr>
            <w:tcW w:type="dxa" w:w="1800"/>
            <w:tcMar>
              <w:top w:type="dxa" w:w="100"/>
              <w:left w:type="dxa" w:w="120"/>
              <w:bottom w:type="dxa" w:w="100"/>
              <w:right w:type="dxa" w:w="120"/>
            </w:tcMar>
          </w:tcPr>
          <w:p>
            <w:r>
              <w:rPr>
                <w:b w:val="false"/>
                <w:bCs w:val="false"/>
                <w:color w:val="15142B"/>
                <w:sz w:val="20"/>
                <w:szCs w:val="20"/>
              </w:rPr>
              <w:t xml:space="preserve">28%</w:t>
            </w:r>
          </w:p>
        </w:tc>
        <w:tc>
          <w:tcPr>
            <w:tcW w:type="dxa" w:w="5400"/>
            <w:tcMar>
              <w:top w:type="dxa" w:w="100"/>
              <w:left w:type="dxa" w:w="120"/>
              <w:bottom w:type="dxa" w:w="100"/>
              <w:right w:type="dxa" w:w="120"/>
            </w:tcMar>
          </w:tcPr>
          <w:p>
            <w:r>
              <w:rPr>
                <w:b w:val="false"/>
                <w:bCs w:val="false"/>
                <w:color w:val="15142B"/>
                <w:sz w:val="20"/>
                <w:szCs w:val="20"/>
              </w:rPr>
              <w:t xml:space="preserve">How close the departure times are</w:t>
            </w:r>
          </w:p>
        </w:tc>
      </w:tr>
      <w:tr>
        <w:tc>
          <w:tcPr>
            <w:tcW w:type="dxa" w:w="2400"/>
            <w:tcMar>
              <w:top w:type="dxa" w:w="100"/>
              <w:left w:type="dxa" w:w="120"/>
              <w:bottom w:type="dxa" w:w="100"/>
              <w:right w:type="dxa" w:w="120"/>
            </w:tcMar>
          </w:tcPr>
          <w:p>
            <w:r>
              <w:rPr>
                <w:b w:val="false"/>
                <w:bCs w:val="false"/>
                <w:color w:val="15142B"/>
                <w:sz w:val="20"/>
                <w:szCs w:val="20"/>
              </w:rPr>
              <w:t xml:space="preserve">Price fit</w:t>
            </w:r>
          </w:p>
        </w:tc>
        <w:tc>
          <w:tcPr>
            <w:tcW w:type="dxa" w:w="1800"/>
            <w:tcMar>
              <w:top w:type="dxa" w:w="100"/>
              <w:left w:type="dxa" w:w="120"/>
              <w:bottom w:type="dxa" w:w="100"/>
              <w:right w:type="dxa" w:w="120"/>
            </w:tcMar>
          </w:tcPr>
          <w:p>
            <w:r>
              <w:rPr>
                <w:b w:val="false"/>
                <w:bCs w:val="false"/>
                <w:color w:val="15142B"/>
                <w:sz w:val="20"/>
                <w:szCs w:val="20"/>
              </w:rPr>
              <w:t xml:space="preserve">13%</w:t>
            </w:r>
          </w:p>
        </w:tc>
        <w:tc>
          <w:tcPr>
            <w:tcW w:type="dxa" w:w="5400"/>
            <w:tcMar>
              <w:top w:type="dxa" w:w="100"/>
              <w:left w:type="dxa" w:w="120"/>
              <w:bottom w:type="dxa" w:w="100"/>
              <w:right w:type="dxa" w:w="120"/>
            </w:tcMar>
          </w:tcPr>
          <w:p>
            <w:r>
              <w:rPr>
                <w:b w:val="false"/>
                <w:bCs w:val="false"/>
                <w:color w:val="15142B"/>
                <w:sz w:val="20"/>
                <w:szCs w:val="20"/>
              </w:rPr>
              <w:t xml:space="preserve">How the offer price compares to the requester’s budget</w:t>
            </w:r>
          </w:p>
        </w:tc>
      </w:tr>
      <w:tr>
        <w:tc>
          <w:tcPr>
            <w:tcW w:type="dxa" w:w="2400"/>
            <w:tcMar>
              <w:top w:type="dxa" w:w="100"/>
              <w:left w:type="dxa" w:w="120"/>
              <w:bottom w:type="dxa" w:w="100"/>
              <w:right w:type="dxa" w:w="120"/>
            </w:tcMar>
          </w:tcPr>
          <w:p>
            <w:r>
              <w:rPr>
                <w:b w:val="false"/>
                <w:bCs w:val="false"/>
                <w:color w:val="15142B"/>
                <w:sz w:val="20"/>
                <w:szCs w:val="20"/>
              </w:rPr>
              <w:t xml:space="preserve">Preferences</w:t>
            </w:r>
          </w:p>
        </w:tc>
        <w:tc>
          <w:tcPr>
            <w:tcW w:type="dxa" w:w="1800"/>
            <w:tcMar>
              <w:top w:type="dxa" w:w="100"/>
              <w:left w:type="dxa" w:w="120"/>
              <w:bottom w:type="dxa" w:w="100"/>
              <w:right w:type="dxa" w:w="120"/>
            </w:tcMar>
          </w:tcPr>
          <w:p>
            <w:r>
              <w:rPr>
                <w:b w:val="false"/>
                <w:bCs w:val="false"/>
                <w:color w:val="15142B"/>
                <w:sz w:val="20"/>
                <w:szCs w:val="20"/>
              </w:rPr>
              <w:t xml:space="preserve">13%</w:t>
            </w:r>
          </w:p>
        </w:tc>
        <w:tc>
          <w:tcPr>
            <w:tcW w:type="dxa" w:w="5400"/>
            <w:tcMar>
              <w:top w:type="dxa" w:w="100"/>
              <w:left w:type="dxa" w:w="120"/>
              <w:bottom w:type="dxa" w:w="100"/>
              <w:right w:type="dxa" w:w="120"/>
            </w:tcMar>
          </w:tcPr>
          <w:p>
            <w:r>
              <w:rPr>
                <w:b w:val="false"/>
                <w:bCs w:val="false"/>
                <w:color w:val="15142B"/>
                <w:sz w:val="20"/>
                <w:szCs w:val="20"/>
              </w:rPr>
              <w:t xml:space="preserve">Alignment on chattiness, music, smoking, pets, luggage, gender preference</w:t>
            </w:r>
          </w:p>
        </w:tc>
      </w:tr>
      <w:tr>
        <w:tc>
          <w:tcPr>
            <w:tcW w:type="dxa" w:w="2400"/>
            <w:tcMar>
              <w:top w:type="dxa" w:w="100"/>
              <w:left w:type="dxa" w:w="120"/>
              <w:bottom w:type="dxa" w:w="100"/>
              <w:right w:type="dxa" w:w="120"/>
            </w:tcMar>
          </w:tcPr>
          <w:p>
            <w:r>
              <w:rPr>
                <w:b w:val="false"/>
                <w:bCs w:val="false"/>
                <w:color w:val="15142B"/>
                <w:sz w:val="20"/>
                <w:szCs w:val="20"/>
              </w:rPr>
              <w:t xml:space="preserve">Reliability</w:t>
            </w:r>
          </w:p>
        </w:tc>
        <w:tc>
          <w:tcPr>
            <w:tcW w:type="dxa" w:w="1800"/>
            <w:tcMar>
              <w:top w:type="dxa" w:w="100"/>
              <w:left w:type="dxa" w:w="120"/>
              <w:bottom w:type="dxa" w:w="100"/>
              <w:right w:type="dxa" w:w="120"/>
            </w:tcMar>
          </w:tcPr>
          <w:p>
            <w:r>
              <w:rPr>
                <w:b w:val="false"/>
                <w:bCs w:val="false"/>
                <w:color w:val="15142B"/>
                <w:sz w:val="20"/>
                <w:szCs w:val="20"/>
              </w:rPr>
              <w:t xml:space="preserve">6%</w:t>
            </w:r>
          </w:p>
        </w:tc>
        <w:tc>
          <w:tcPr>
            <w:tcW w:type="dxa" w:w="5400"/>
            <w:tcMar>
              <w:top w:type="dxa" w:w="100"/>
              <w:left w:type="dxa" w:w="120"/>
              <w:bottom w:type="dxa" w:w="100"/>
              <w:right w:type="dxa" w:w="120"/>
            </w:tcMar>
          </w:tcPr>
          <w:p>
            <w:r>
              <w:rPr>
                <w:b w:val="false"/>
                <w:bCs w:val="false"/>
                <w:color w:val="15142B"/>
                <w:sz w:val="20"/>
                <w:szCs w:val="20"/>
              </w:rPr>
              <w:t xml:space="preserve">Driver trip-completion history</w:t>
            </w:r>
          </w:p>
        </w:tc>
      </w:tr>
      <w:tr>
        <w:tc>
          <w:tcPr>
            <w:tcW w:type="dxa" w:w="2400"/>
            <w:tcMar>
              <w:top w:type="dxa" w:w="100"/>
              <w:left w:type="dxa" w:w="120"/>
              <w:bottom w:type="dxa" w:w="100"/>
              <w:right w:type="dxa" w:w="120"/>
            </w:tcMar>
          </w:tcPr>
          <w:p>
            <w:r>
              <w:rPr>
                <w:b w:val="false"/>
                <w:bCs w:val="false"/>
                <w:color w:val="15142B"/>
                <w:sz w:val="20"/>
                <w:szCs w:val="20"/>
              </w:rPr>
              <w:t xml:space="preserve">Environmental</w:t>
            </w:r>
          </w:p>
        </w:tc>
        <w:tc>
          <w:tcPr>
            <w:tcW w:type="dxa" w:w="1800"/>
            <w:tcMar>
              <w:top w:type="dxa" w:w="100"/>
              <w:left w:type="dxa" w:w="120"/>
              <w:bottom w:type="dxa" w:w="100"/>
              <w:right w:type="dxa" w:w="120"/>
            </w:tcMar>
          </w:tcPr>
          <w:p>
            <w:r>
              <w:rPr>
                <w:b w:val="false"/>
                <w:bCs w:val="false"/>
                <w:color w:val="15142B"/>
                <w:sz w:val="20"/>
                <w:szCs w:val="20"/>
              </w:rPr>
              <w:t xml:space="preserve">8%</w:t>
            </w:r>
          </w:p>
        </w:tc>
        <w:tc>
          <w:tcPr>
            <w:tcW w:type="dxa" w:w="5400"/>
            <w:tcMar>
              <w:top w:type="dxa" w:w="100"/>
              <w:left w:type="dxa" w:w="120"/>
              <w:bottom w:type="dxa" w:w="100"/>
              <w:right w:type="dxa" w:w="120"/>
            </w:tcMar>
          </w:tcPr>
          <w:p>
            <w:r>
              <w:rPr>
                <w:b w:val="false"/>
                <w:bCs w:val="false"/>
                <w:color w:val="15142B"/>
                <w:sz w:val="20"/>
                <w:szCs w:val="20"/>
              </w:rPr>
              <w:t xml:space="preserve">How much of the offer vehicle’s spare capacity the match would use, plus a bonus for lower-emission vehicle types</w:t>
            </w:r>
          </w:p>
        </w:tc>
      </w:tr>
    </w:tbl>
    <w:p>
      <w:pPr>
        <w:spacing w:after="160"/>
      </w:pPr>
      <w:r>
        <w:t xml:space="preserve">A rider can override these weights in their own profile; the matching engine re-scores using whatever weights the requester has set at the moment a request is made.</w:t>
      </w:r>
    </w:p>
    <w:p>
      <w:pPr>
        <w:pStyle w:val="Heading1"/>
        <w:spacing w:after="160" w:before="360"/>
      </w:pPr>
      <w:r>
        <w:t xml:space="preserve">6. Booking Lifecycle</w:t>
      </w:r>
    </w:p>
    <w:p>
      <w:pPr>
        <w:spacing w:after="160"/>
      </w:pPr>
      <w:r>
        <w:t xml:space="preserve">Bookings move through an explicit, server-enforced state machine: REQUESTED → MATCHED → BOOKING_REQUESTED → CONFIRMED → IN_PROGRESS → COMPLETED, with CANCELLED reachable from any non-terminal state. Invalid transitions (e.g. skipping straight to COMPLETED) are rejected server-side regardless of what the client sends.</w:t>
      </w:r>
    </w:p>
    <w:p>
      <w:pPr>
        <w:pStyle w:val="Heading1"/>
        <w:spacing w:after="160" w:before="360"/>
      </w:pPr>
      <w:r>
        <w:t xml:space="preserve">7. Payments &amp; Monetization</w:t>
      </w:r>
    </w:p>
    <w:p>
      <w:pPr>
        <w:spacing w:after="160"/>
      </w:pPr>
      <w:r>
        <w:t xml:space="preserve">Every payment method (card, mobile money, wallet, cash, and Stripe test-mode card) implements the same authorize/capture provider contract, so adding a licensed real-money processor later means adding one provider, not rewriting routes. Every captured payment stores the commission rate that applied at the moment it was captured, so raising the platform’s commission percentage later never rewrites the history of past transactions.</w:t>
      </w:r>
    </w:p>
    <w:p>
      <w:pPr>
        <w:spacing w:after="160"/>
      </w:pPr>
      <w:r>
        <w:t xml:space="preserve">The platform commission defaults to 0% for an initial early-bird cohort, to seed liquidity on a route before charging anything — this is a configuration change away from being switched on, not a rebuild. Currency is mandatory and explicit on every journey, booking, and payment; there is no silent default to a single currency.</w:t>
      </w:r>
    </w:p>
    <w:p>
      <w:pPr>
        <w:pStyle w:val="Heading1"/>
        <w:spacing w:after="160" w:before="360"/>
      </w:pPr>
      <w:r>
        <w:t xml:space="preserve">8. Environmental Philosophy</w:t>
      </w:r>
    </w:p>
    <w:p>
      <w:pPr>
        <w:spacing w:after="160"/>
      </w:pPr>
      <w:r>
        <w:t xml:space="preserve">The platform states its environmental ambition and builds the capability to measure it, rather than asserting an unverified reduction figure. Five connected principles: share existing capacity, reduce unnecessary duplication, surface efficient options honestly, favour cleaner vehicles within the match score, and measure the impact on every completed trip — with the methodology always shown alongside the estimate.</w:t>
      </w:r>
    </w:p>
    <w:p>
      <w:pPr>
        <w:pStyle w:val="Heading1"/>
        <w:spacing w:after="160" w:before="360"/>
      </w:pPr>
      <w:r>
        <w:t xml:space="preserve">9. Security &amp; Governance Summary</w:t>
      </w:r>
    </w:p>
    <w:p>
      <w:pPr>
        <w:pStyle w:val="ListParagraph"/>
        <w:numPr>
          <w:ilvl w:val="0"/>
          <w:numId w:val="2"/>
        </w:numPr>
        <w:spacing w:after="80"/>
      </w:pPr>
      <w:r>
        <w:t xml:space="preserve">Passwords hashed with bcrypt; sessions are stateless, signed JWTs; no hardcoded fallback signing key — the server refuses to start without one configured</w:t>
      </w:r>
    </w:p>
    <w:p>
      <w:pPr>
        <w:pStyle w:val="ListParagraph"/>
        <w:numPr>
          <w:ilvl w:val="0"/>
          <w:numId w:val="2"/>
        </w:numPr>
        <w:spacing w:after="80"/>
      </w:pPr>
      <w:r>
        <w:t xml:space="preserve">Ownership/authorization checked at the route layer for every sensitive action (only a journey’s owner can cancel it, only a booking’s parties can view/act on it, etc.)</w:t>
      </w:r>
    </w:p>
    <w:p>
      <w:pPr>
        <w:pStyle w:val="ListParagraph"/>
        <w:numPr>
          <w:ilvl w:val="0"/>
          <w:numId w:val="2"/>
        </w:numPr>
        <w:spacing w:after="80"/>
      </w:pPr>
      <w:r>
        <w:t xml:space="preserve">Every write route validates its input server-side; all SQL is parameterized</w:t>
      </w:r>
    </w:p>
    <w:p>
      <w:pPr>
        <w:pStyle w:val="ListParagraph"/>
        <w:numPr>
          <w:ilvl w:val="0"/>
          <w:numId w:val="2"/>
        </w:numPr>
        <w:spacing w:after="80"/>
      </w:pPr>
      <w:r>
        <w:t xml:space="preserve">Rate limiting on login, registration, password reset, the AI assistant, and feedback submission, to blunt brute-force and cost-abuse attempts</w:t>
      </w:r>
    </w:p>
    <w:p>
      <w:pPr>
        <w:pStyle w:val="ListParagraph"/>
        <w:numPr>
          <w:ilvl w:val="0"/>
          <w:numId w:val="2"/>
        </w:numPr>
        <w:spacing w:after="80"/>
      </w:pPr>
      <w:r>
        <w:t xml:space="preserve">An immutable audit trail behind bookings, payments, and safety reports</w:t>
      </w:r>
    </w:p>
    <w:p>
      <w:pPr>
        <w:pStyle w:val="ListParagraph"/>
        <w:numPr>
          <w:ilvl w:val="0"/>
          <w:numId w:val="2"/>
        </w:numPr>
        <w:spacing w:after="80"/>
      </w:pPr>
      <w:r>
        <w:t xml:space="preserve">A password-token-gated admin dashboard with output HTML-escaped against stored-XSS</w:t>
      </w:r>
    </w:p>
    <w:p>
      <w:pPr>
        <w:spacing w:after="160"/>
      </w:pPr>
      <w:r>
        <w:t xml:space="preserve">See the repository’s docs/SECURITY.md for the full technical detail behind each of these controls.</w:t>
      </w:r>
    </w:p>
    <w:p>
      <w:pPr>
        <w:pStyle w:val="Heading1"/>
        <w:spacing w:after="160" w:before="360"/>
      </w:pPr>
      <w:r>
        <w:t xml:space="preserve">10. Roadmap</w:t>
      </w:r>
    </w:p>
    <w:p>
      <w:pPr>
        <w:pStyle w:val="Heading2"/>
        <w:spacing w:after="120" w:before="240"/>
      </w:pPr>
      <w:r>
        <w:t xml:space="preserve">Shipped</w:t>
      </w:r>
    </w:p>
    <w:p>
      <w:pPr>
        <w:pStyle w:val="ListParagraph"/>
        <w:numPr>
          <w:ilvl w:val="0"/>
          <w:numId w:val="2"/>
        </w:numPr>
        <w:spacing w:after="80"/>
      </w:pPr>
      <w:r>
        <w:t xml:space="preserve">Full V1 product across both runtimes, with 39 automated tests green</w:t>
      </w:r>
    </w:p>
    <w:p>
      <w:pPr>
        <w:pStyle w:val="ListParagraph"/>
        <w:numPr>
          <w:ilvl w:val="0"/>
          <w:numId w:val="2"/>
        </w:numPr>
        <w:spacing w:after="80"/>
      </w:pPr>
      <w:r>
        <w:t xml:space="preserve">Live production deployment on Cloudflare Workers, D1, and Durable Objects</w:t>
      </w:r>
    </w:p>
    <w:p>
      <w:pPr>
        <w:pStyle w:val="ListParagraph"/>
        <w:numPr>
          <w:ilvl w:val="0"/>
          <w:numId w:val="2"/>
        </w:numPr>
        <w:spacing w:after="80"/>
      </w:pPr>
      <w:r>
        <w:t xml:space="preserve">Environmental impact factor and estimated-impact reporting</w:t>
      </w:r>
    </w:p>
    <w:p>
      <w:pPr>
        <w:pStyle w:val="Heading2"/>
        <w:spacing w:after="120" w:before="240"/>
      </w:pPr>
      <w:r>
        <w:t xml:space="preserve">Now</w:t>
      </w:r>
    </w:p>
    <w:p>
      <w:pPr>
        <w:pStyle w:val="ListParagraph"/>
        <w:numPr>
          <w:ilvl w:val="0"/>
          <w:numId w:val="2"/>
        </w:numPr>
        <w:spacing w:after="80"/>
      </w:pPr>
      <w:r>
        <w:t xml:space="preserve">Early-bird period at 0% commission while the first cohort of users is seeded</w:t>
      </w:r>
    </w:p>
    <w:p>
      <w:pPr>
        <w:pStyle w:val="Heading2"/>
        <w:spacing w:after="120" w:before="240"/>
      </w:pPr>
      <w:r>
        <w:t xml:space="preserve">Next</w:t>
      </w:r>
    </w:p>
    <w:p>
      <w:pPr>
        <w:pStyle w:val="ListParagraph"/>
        <w:numPr>
          <w:ilvl w:val="0"/>
          <w:numId w:val="2"/>
        </w:numPr>
        <w:spacing w:after="80"/>
      </w:pPr>
      <w:r>
        <w:t xml:space="preserve">Real geocoding and live maps in place of manually entered coordinates</w:t>
      </w:r>
    </w:p>
    <w:p>
      <w:pPr>
        <w:pStyle w:val="ListParagraph"/>
        <w:numPr>
          <w:ilvl w:val="0"/>
          <w:numId w:val="2"/>
        </w:numPr>
        <w:spacing w:after="80"/>
      </w:pPr>
      <w:r>
        <w:t xml:space="preserve">Driver identity verification</w:t>
      </w:r>
    </w:p>
    <w:p>
      <w:pPr>
        <w:pStyle w:val="ListParagraph"/>
        <w:numPr>
          <w:ilvl w:val="0"/>
          <w:numId w:val="2"/>
        </w:numPr>
        <w:spacing w:after="80"/>
      </w:pPr>
      <w:r>
        <w:t xml:space="preserve">A licensed payment processor behind the existing provider contract</w:t>
      </w:r>
    </w:p>
    <w:p>
      <w:pPr>
        <w:pStyle w:val="ListParagraph"/>
        <w:numPr>
          <w:ilvl w:val="0"/>
          <w:numId w:val="2"/>
        </w:numPr>
        <w:spacing w:after="80"/>
      </w:pPr>
      <w:r>
        <w:t xml:space="preserve">Calibrated emission factors against real trip telemetry</w:t>
      </w:r>
    </w:p>
    <w:p>
      <w:pPr>
        <w:pStyle w:val="ListParagraph"/>
        <w:numPr>
          <w:ilvl w:val="0"/>
          <w:numId w:val="2"/>
        </w:numPr>
        <w:spacing w:after="80"/>
      </w:pPr>
      <w:r>
        <w:t xml:space="preserve">Ride Passes for repeat driver/passenger pairs, to reduce off-platform settlement</w:t>
      </w:r>
    </w:p>
    <w:p>
      <w:pPr>
        <w:pBdr>
          <w:top w:val="single" w:color="CCCCCC" w:sz="4"/>
        </w:pBdr>
        <w:spacing w:before="400"/>
      </w:pPr>
      <w:r>
        <w:rPr>
          <w:i/>
          <w:iCs/>
          <w:color w:val="5B5875"/>
          <w:sz w:val="18"/>
          <w:szCs w:val="18"/>
        </w:rPr>
        <w:t xml:space="preserve">This document describes the product and technical state of RideShare Genesis V1 as implemented in the repository at the time of writing. It is a working reference for engineering, product, and investor due diligence, and is expected to be revised as the product evolves.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15142B"/>
      <w:sz w:val="32"/>
      <w:szCs w:val="32"/>
    </w:rPr>
  </w:style>
  <w:style w:type="paragraph" w:styleId="Heading2">
    <w:name w:val="Heading 2"/>
    <w:basedOn w:val="Normal"/>
    <w:next w:val="Normal"/>
    <w:qFormat/>
    <w:pPr>
      <w:spacing w:after="120" w:before="240"/>
    </w:pPr>
    <w:rPr>
      <w:rFonts w:ascii="Georgia" w:cs="Georgia" w:eastAsia="Georgia" w:hAnsi="Georgia"/>
      <w:b/>
      <w:bCs/>
      <w:color w:val="15142B"/>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2026-08-29T16:02:19.766Z</dcterms:created>
  <dcterms:modified xsi:type="dcterms:W3CDTF">2026-08-29T16:02:19.766Z</dcterms:modified>
</cp:coreProperties>
</file>

<file path=docProps/custom.xml><?xml version="1.0" encoding="utf-8"?>
<Properties xmlns="http://schemas.openxmlformats.org/officeDocument/2006/custom-properties" xmlns:vt="http://schemas.openxmlformats.org/officeDocument/2006/docPropsVTypes"/>
</file>