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2545"/>
          <w:sz w:val="36"/>
        </w:rPr>
        <w:t>销售辅导与异议处理手册</w:t>
      </w:r>
    </w:p>
    <w:p>
      <w:r>
        <w:rPr>
          <w:rFonts w:ascii="Microsoft YaHei" w:hAnsi="Microsoft YaHei" w:eastAsia="Microsoft YaHei"/>
        </w:rPr>
        <w:t>适用场景：销售 Agent 在回答销售代表、经理或运营人员问题时，用于补全发现式提问、机会诊断、异议处理和下一步行动建议。</w:t>
      </w:r>
    </w:p>
    <w:p>
      <w:pPr>
        <w:pStyle w:val="Heading1"/>
      </w:pPr>
      <w:r>
        <w:rPr>
          <w:rFonts w:ascii="Microsoft YaHei" w:hAnsi="Microsoft YaHei" w:eastAsia="Microsoft YaHei"/>
        </w:rPr>
        <w:t>一、通话辅导评分框架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</w:rPr>
        <w:t>开场 60 秒内确认客户角色、会议目标和可用时间，避免直接进入产品演示。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</w:rPr>
        <w:t>发现阶段至少覆盖业务目标、当前流程、痛点成本、决策链、上线时间和预算边界。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</w:rPr>
        <w:t>每个关键痛点都要追问量化影响，例如人时损耗、线索流失率、审批周期或收入缺口。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</w:rPr>
        <w:t>客户给出模糊回答时，销售应复述并用二选一问题收敛，而不是继续堆功能。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</w:rPr>
        <w:t>结尾必须获得明确下一步：参与人、材料、时间、验收标准和客户侧准备事项。</w:t>
      </w:r>
    </w:p>
    <w:p>
      <w:pPr>
        <w:pStyle w:val="Heading1"/>
      </w:pPr>
      <w:r>
        <w:rPr>
          <w:rFonts w:ascii="Microsoft YaHei" w:hAnsi="Microsoft YaHei" w:eastAsia="Microsoft YaHei"/>
        </w:rPr>
        <w:t>二、异议处理矩阵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异议</w:t>
            </w:r>
          </w:p>
        </w:tc>
        <w:tc>
          <w:tcPr>
            <w:tcW w:type="dxa" w:w="2340"/>
            <w:shd w:fill="E8EEF5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先确认</w:t>
            </w:r>
          </w:p>
        </w:tc>
        <w:tc>
          <w:tcPr>
            <w:tcW w:type="dxa" w:w="2340"/>
            <w:shd w:fill="E8EEF5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再诊断</w:t>
            </w:r>
          </w:p>
        </w:tc>
        <w:tc>
          <w:tcPr>
            <w:tcW w:type="dxa" w:w="2340"/>
            <w:shd w:fill="E8EEF5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最后推进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rFonts w:ascii="Microsoft YaHei" w:hAnsi="Microsoft YaHei" w:eastAsia="Microsoft YaHei"/>
              </w:rPr>
              <w:t>价格太高</w:t>
            </w:r>
          </w:p>
        </w:tc>
        <w:tc>
          <w:tcPr>
            <w:tcW w:type="dxa" w:w="2340"/>
            <w:vAlign w:val="top"/>
          </w:tcPr>
          <w:p>
            <w:r>
              <w:rPr>
                <w:rFonts w:ascii="Microsoft YaHei" w:hAnsi="Microsoft YaHei" w:eastAsia="Microsoft YaHei"/>
              </w:rPr>
              <w:t>确认客户比较对象和预算口径。</w:t>
            </w:r>
          </w:p>
        </w:tc>
        <w:tc>
          <w:tcPr>
            <w:tcW w:type="dxa" w:w="2340"/>
            <w:vAlign w:val="top"/>
          </w:tcPr>
          <w:p>
            <w:r>
              <w:rPr>
                <w:rFonts w:ascii="Microsoft YaHei" w:hAnsi="Microsoft YaHei" w:eastAsia="Microsoft YaHei"/>
              </w:rPr>
              <w:t>拆分一次性费用、实施成本、维护成本和机会成本。</w:t>
            </w:r>
          </w:p>
        </w:tc>
        <w:tc>
          <w:tcPr>
            <w:tcW w:type="dxa" w:w="2340"/>
            <w:vAlign w:val="top"/>
          </w:tcPr>
          <w:p>
            <w:r>
              <w:rPr>
                <w:rFonts w:ascii="Microsoft YaHei" w:hAnsi="Microsoft YaHei" w:eastAsia="Microsoft YaHei"/>
              </w:rPr>
              <w:t>用价值锚点给出试点范围、成功指标和复盘日期。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rFonts w:ascii="Microsoft YaHei" w:hAnsi="Microsoft YaHei" w:eastAsia="Microsoft YaHei"/>
              </w:rPr>
              <w:t>暂时不急</w:t>
            </w:r>
          </w:p>
        </w:tc>
        <w:tc>
          <w:tcPr>
            <w:tcW w:type="dxa" w:w="2340"/>
            <w:vAlign w:val="top"/>
          </w:tcPr>
          <w:p>
            <w:r>
              <w:rPr>
                <w:rFonts w:ascii="Microsoft YaHei" w:hAnsi="Microsoft YaHei" w:eastAsia="Microsoft YaHei"/>
              </w:rPr>
              <w:t>确认是没有优先级，还是缺少内部推动人。</w:t>
            </w:r>
          </w:p>
        </w:tc>
        <w:tc>
          <w:tcPr>
            <w:tcW w:type="dxa" w:w="2340"/>
            <w:vAlign w:val="top"/>
          </w:tcPr>
          <w:p>
            <w:r>
              <w:rPr>
                <w:rFonts w:ascii="Microsoft YaHei" w:hAnsi="Microsoft YaHei" w:eastAsia="Microsoft YaHei"/>
              </w:rPr>
              <w:t>追问当前问题继续存在会影响哪个季度目标。</w:t>
            </w:r>
          </w:p>
        </w:tc>
        <w:tc>
          <w:tcPr>
            <w:tcW w:type="dxa" w:w="2340"/>
            <w:vAlign w:val="top"/>
          </w:tcPr>
          <w:p>
            <w:r>
              <w:rPr>
                <w:rFonts w:ascii="Microsoft YaHei" w:hAnsi="Microsoft YaHei" w:eastAsia="Microsoft YaHei"/>
              </w:rPr>
              <w:t>建议低风险试点或业务评估会，降低启动门槛。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rFonts w:ascii="Microsoft YaHei" w:hAnsi="Microsoft YaHei" w:eastAsia="Microsoft YaHei"/>
              </w:rPr>
              <w:t>已有供应商</w:t>
            </w:r>
          </w:p>
        </w:tc>
        <w:tc>
          <w:tcPr>
            <w:tcW w:type="dxa" w:w="2340"/>
            <w:vAlign w:val="top"/>
          </w:tcPr>
          <w:p>
            <w:r>
              <w:rPr>
                <w:rFonts w:ascii="Microsoft YaHei" w:hAnsi="Microsoft YaHei" w:eastAsia="Microsoft YaHei"/>
              </w:rPr>
              <w:t>认可已有投入，避免否定客户选择。</w:t>
            </w:r>
          </w:p>
        </w:tc>
        <w:tc>
          <w:tcPr>
            <w:tcW w:type="dxa" w:w="2340"/>
            <w:vAlign w:val="top"/>
          </w:tcPr>
          <w:p>
            <w:r>
              <w:rPr>
                <w:rFonts w:ascii="Microsoft YaHei" w:hAnsi="Microsoft YaHei" w:eastAsia="Microsoft YaHei"/>
              </w:rPr>
              <w:t>询问现供应商在哪些流程仍需人工补位。</w:t>
            </w:r>
          </w:p>
        </w:tc>
        <w:tc>
          <w:tcPr>
            <w:tcW w:type="dxa" w:w="2340"/>
            <w:vAlign w:val="top"/>
          </w:tcPr>
          <w:p>
            <w:r>
              <w:rPr>
                <w:rFonts w:ascii="Microsoft YaHei" w:hAnsi="Microsoft YaHei" w:eastAsia="Microsoft YaHei"/>
              </w:rPr>
              <w:t>定位互补场景，先争取小范围替换或并行评估。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rFonts w:ascii="Microsoft YaHei" w:hAnsi="Microsoft YaHei" w:eastAsia="Microsoft YaHei"/>
              </w:rPr>
              <w:t>需要领导同意</w:t>
            </w:r>
          </w:p>
        </w:tc>
        <w:tc>
          <w:tcPr>
            <w:tcW w:type="dxa" w:w="2340"/>
            <w:vAlign w:val="top"/>
          </w:tcPr>
          <w:p>
            <w:r>
              <w:rPr>
                <w:rFonts w:ascii="Microsoft YaHei" w:hAnsi="Microsoft YaHei" w:eastAsia="Microsoft YaHei"/>
              </w:rPr>
              <w:t>确认领导关心成本、风险还是战略匹配。</w:t>
            </w:r>
          </w:p>
        </w:tc>
        <w:tc>
          <w:tcPr>
            <w:tcW w:type="dxa" w:w="2340"/>
            <w:vAlign w:val="top"/>
          </w:tcPr>
          <w:p>
            <w:r>
              <w:rPr>
                <w:rFonts w:ascii="Microsoft YaHei" w:hAnsi="Microsoft YaHei" w:eastAsia="Microsoft YaHei"/>
              </w:rPr>
              <w:t>补齐决策材料：ROI、风险、上线计划和竞品对比。</w:t>
            </w:r>
          </w:p>
        </w:tc>
        <w:tc>
          <w:tcPr>
            <w:tcW w:type="dxa" w:w="2340"/>
            <w:vAlign w:val="top"/>
          </w:tcPr>
          <w:p>
            <w:r>
              <w:rPr>
                <w:rFonts w:ascii="Microsoft YaHei" w:hAnsi="Microsoft YaHei" w:eastAsia="Microsoft YaHei"/>
              </w:rPr>
              <w:t>请求共同准备管理层汇报，而不是只等客户转述。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三、Agent 回答规则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</w:rPr>
        <w:t>当用户询问“为什么客户不推进”时，先从 CRM 阶段、最后活动时间、下一步是否明确、金额变化和负责人变更五个维度诊断。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</w:rPr>
        <w:t>当用户询问“怎么说服客户”时，回答必须同时包含客户视角收益、风险降低动作、下一次会议目标和可复制话术。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</w:rPr>
        <w:t>当命中知识库内容但缺少销售数据时，应明确说明“基于方法论建议”，不要伪造客户、金额或订单。</w:t>
      </w:r>
    </w:p>
    <w:p>
      <w:pPr>
        <w:pStyle w:val="Heading1"/>
      </w:pPr>
      <w:r>
        <w:rPr>
          <w:rFonts w:ascii="Microsoft YaHei" w:hAnsi="Microsoft YaHei" w:eastAsia="Microsoft YaHei"/>
        </w:rPr>
        <w:t>四、示例话术</w:t>
      </w:r>
    </w:p>
    <w:p>
      <w:pPr>
        <w:pStyle w:val="Heading2"/>
      </w:pPr>
      <w:r>
        <w:rPr>
          <w:rFonts w:ascii="Microsoft YaHei" w:hAnsi="Microsoft YaHei" w:eastAsia="Microsoft YaHei"/>
        </w:rPr>
        <w:t>价格异议</w:t>
      </w:r>
    </w:p>
    <w:p>
      <w:r>
        <w:rPr>
          <w:rFonts w:ascii="Microsoft YaHei" w:hAnsi="Microsoft YaHei" w:eastAsia="Microsoft YaHei"/>
        </w:rPr>
        <w:t>“我理解预算压力。为了判断是否真的贵，我们先把比较口径对齐：您现在是在比较许可证价格，还是比较上线后节省的人力、减少的漏单和更快回款带来的收益？”</w:t>
      </w:r>
    </w:p>
    <w:p>
      <w:pPr>
        <w:pStyle w:val="Heading2"/>
      </w:pPr>
      <w:r>
        <w:rPr>
          <w:rFonts w:ascii="Microsoft YaHei" w:hAnsi="Microsoft YaHei" w:eastAsia="Microsoft YaHei"/>
        </w:rPr>
        <w:t>推进停滞</w:t>
      </w:r>
    </w:p>
    <w:p>
      <w:r>
        <w:rPr>
          <w:rFonts w:ascii="Microsoft YaHei" w:hAnsi="Microsoft YaHei" w:eastAsia="Microsoft YaHei"/>
        </w:rPr>
        <w:t>“如果这件事本季度不处理，最直接影响的是线索响应、销售预测还是客户续约？我们可以先用一个两周试点验证最关键的指标。”</w:t>
      </w:r>
    </w:p>
    <w:p>
      <w:pPr>
        <w:pStyle w:val="Heading1"/>
      </w:pPr>
      <w:r>
        <w:rPr>
          <w:rFonts w:ascii="Microsoft YaHei" w:hAnsi="Microsoft YaHei" w:eastAsia="Microsoft YaHei"/>
        </w:rPr>
        <w:t>五、参考来源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</w:rPr>
        <w:t>Salesforce 对销售流程、销售周期和管道阶段的公开说明。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</w:rPr>
        <w:t>HubSpot 对销售管道和销售分析报表的公开产品文档。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</w:rPr>
        <w:t>Gong 对 discovery call、sales qualification 和 call coaching checklist 的公开方法论文章。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30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0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0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