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0691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2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Paper Experiment Reproduction Guide​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0DEBDB52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This document aims to assist reviewers in fully reproducing the experiments presented in our paper. The uploaded files include three components:</w:t>
      </w:r>
    </w:p>
    <w:p w14:paraId="2C4988F8" w14:textId="77777777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​Code for all experiments​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Comparative experiments, parameter experiments, and ablation experiments.</w:t>
      </w:r>
    </w:p>
    <w:p w14:paraId="1C186411" w14:textId="77777777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​JSON-formatted dataset​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original MAT-format dataset was sourced from the public repository </w:t>
      </w:r>
      <w:r w:rsidRPr="00BD4331">
        <w:rPr>
          <w:rFonts w:ascii="Times New Roman" w:eastAsia="宋体" w:hAnsi="Times New Roman" w:cs="Times New Roman"/>
          <w:color w:val="006C45"/>
          <w:kern w:val="0"/>
          <w:sz w:val="22"/>
          <w:bdr w:val="none" w:sz="0" w:space="0" w:color="auto" w:frame="1"/>
        </w:rPr>
        <w:t>https://doi.org/10.11922/sciencedb.01552</w:t>
      </w:r>
      <w:r w:rsidRPr="00BD4331">
        <w:rPr>
          <w:rFonts w:ascii="Times New Roman" w:eastAsia="宋体" w:hAnsi="Times New Roman" w:cs="Times New Roman"/>
          <w:kern w:val="0"/>
          <w:sz w:val="22"/>
        </w:rPr>
        <w:t>. To facilitate C++ compatibility, we converted it to JSON format.</w:t>
      </w:r>
    </w:p>
    <w:p w14:paraId="64205001" w14:textId="35D7C862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​JSON library​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open-source library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nlohmann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/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single_include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is included for C++ JSON operations.</w:t>
      </w:r>
    </w:p>
    <w:p w14:paraId="46AA29FA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​General Configuration Instructions​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09194014" w14:textId="77777777" w:rsidR="00BD4331" w:rsidRPr="00BD4331" w:rsidRDefault="00BD4331" w:rsidP="00BD4331">
      <w:pPr>
        <w:widowControl/>
        <w:numPr>
          <w:ilvl w:val="0"/>
          <w:numId w:val="2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Place the JSON library in the same directory as the code files.</w:t>
      </w:r>
    </w:p>
    <w:p w14:paraId="4D8FF25E" w14:textId="411EDF9D" w:rsidR="00BD4331" w:rsidRPr="00BD4331" w:rsidRDefault="00BD4331" w:rsidP="00BD4331">
      <w:pPr>
        <w:widowControl/>
        <w:numPr>
          <w:ilvl w:val="0"/>
          <w:numId w:val="2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Modify the dataset path (line 26) and result-saving path (line 27) in each code file to match your local environment.</w:t>
      </w:r>
    </w:p>
    <w:p w14:paraId="2651DC1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​Experiment Reproduction Steps​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2D750CF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​1. Comparative Experiments (Chapter 4)​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7E7F1274" w14:textId="77777777" w:rsidR="00BD4331" w:rsidRPr="00BD4331" w:rsidRDefault="00BD4331" w:rsidP="00BD4331">
      <w:pPr>
        <w:widowControl/>
        <w:numPr>
          <w:ilvl w:val="0"/>
          <w:numId w:val="3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​Parameter Settings​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</w:t>
      </w:r>
    </w:p>
    <w:p w14:paraId="6BF3EB37" w14:textId="77777777" w:rsidR="00BD4331" w:rsidRPr="00BD4331" w:rsidRDefault="00BD4331" w:rsidP="00BD4331">
      <w:pPr>
        <w:widowControl/>
        <w:numPr>
          <w:ilvl w:val="1"/>
          <w:numId w:val="7"/>
        </w:numPr>
        <w:shd w:val="clear" w:color="auto" w:fill="FCFCFC"/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(number of learners): Default = 100 (full dataset). For specific cases in Table 4, adjust to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=3</w:t>
      </w:r>
      <w:r w:rsidRPr="00BD4331">
        <w:rPr>
          <w:rFonts w:ascii="Times New Roman" w:eastAsia="宋体" w:hAnsi="Times New Roman" w:cs="Times New Roman"/>
          <w:kern w:val="0"/>
          <w:sz w:val="22"/>
        </w:rPr>
        <w:t> or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=4</w:t>
      </w:r>
      <w:r w:rsidRPr="00BD4331">
        <w:rPr>
          <w:rFonts w:ascii="Times New Roman" w:eastAsia="宋体" w:hAnsi="Times New Roman" w:cs="Times New Roman"/>
          <w:kern w:val="0"/>
          <w:sz w:val="22"/>
        </w:rPr>
        <w:t> as annotated.</w:t>
      </w:r>
    </w:p>
    <w:p w14:paraId="07939F96" w14:textId="77777777" w:rsidR="00BD4331" w:rsidRPr="00BD4331" w:rsidRDefault="00BD4331" w:rsidP="00BD4331">
      <w:pPr>
        <w:widowControl/>
        <w:numPr>
          <w:ilvl w:val="1"/>
          <w:numId w:val="8"/>
        </w:numPr>
        <w:shd w:val="clear" w:color="auto" w:fill="FCFCFC"/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count_m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(termination condition): Modify this parameter for the experiments in Section 4.3.</w:t>
      </w:r>
    </w:p>
    <w:p w14:paraId="455DE1AF" w14:textId="77777777" w:rsidR="00BD4331" w:rsidRPr="00BD4331" w:rsidRDefault="00BD4331" w:rsidP="00BD4331">
      <w:pPr>
        <w:widowControl/>
        <w:numPr>
          <w:ilvl w:val="0"/>
          <w:numId w:val="3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​Convergence Curves​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code automatically generates fitness values of the best path every 100 iterations.</w:t>
      </w:r>
    </w:p>
    <w:p w14:paraId="3DA7C62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​2. Parameter Experiments​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686975E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5.1.1 (Learning Path Length)​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Adjust the initial path length parameter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start_len_weight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(line 29).</w:t>
      </w:r>
    </w:p>
    <w:p w14:paraId="30DCC71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5.1.2 (Memory Table Size)​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Modify the memory table length parameter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memory_size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(line 256).</w:t>
      </w:r>
    </w:p>
    <w:p w14:paraId="20CE31E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5.1.3 (Weight Parameters)​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Adjust the weight coefficients (line 53).</w:t>
      </w:r>
    </w:p>
    <w:p w14:paraId="215CD9B0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​3. Ablation Experiments (Section 5.2)​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0217F0F6" w14:textId="77777777" w:rsidR="00BD4331" w:rsidRPr="00BD4331" w:rsidRDefault="00BD4331" w:rsidP="00BD4331">
      <w:pPr>
        <w:widowControl/>
        <w:numPr>
          <w:ilvl w:val="0"/>
          <w:numId w:val="5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Execute the code directly without parameter changes.</w:t>
      </w:r>
    </w:p>
    <w:p w14:paraId="35A171A4" w14:textId="4B6B282D" w:rsidR="00BD4331" w:rsidRPr="00BD4331" w:rsidRDefault="00BD4331" w:rsidP="00BD4331">
      <w:pPr>
        <w:widowControl/>
        <w:numPr>
          <w:ilvl w:val="0"/>
          <w:numId w:val="5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Switch between different case files to reproduce ablation scenarios.</w:t>
      </w:r>
    </w:p>
    <w:p w14:paraId="0D9163CB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​Output Specifications​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1DAE139A" w14:textId="77777777" w:rsidR="00BD4331" w:rsidRPr="00BD4331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​Console Output​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Displays the optimal learning path and corresponding fitness value for each run.</w:t>
      </w:r>
    </w:p>
    <w:p w14:paraId="3A32BEE8" w14:textId="170864E5" w:rsidR="00BD4331" w:rsidRPr="00BD4331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​Result Files​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Automatically saved in JSON format (including fitness values).</w:t>
      </w:r>
    </w:p>
    <w:p w14:paraId="5630B142" w14:textId="0501FB39" w:rsidR="00BD4331" w:rsidRPr="00E02E5B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lastRenderedPageBreak/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​Pre-saved Data​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Original experimental results from the paper are provided in each experiment folder for reference.</w:t>
      </w:r>
    </w:p>
    <w:p w14:paraId="380F68D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left="480"/>
        <w:textAlignment w:val="baseline"/>
        <w:rPr>
          <w:rFonts w:ascii="Times New Roman" w:eastAsia="宋体" w:hAnsi="Times New Roman" w:cs="Times New Roman"/>
          <w:kern w:val="0"/>
          <w:sz w:val="22"/>
        </w:rPr>
      </w:pPr>
    </w:p>
    <w:p w14:paraId="3A07F052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​Note​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All referenced line numbers correspond to the current code version. If editor auto-formatting alters line numbering, locate parameters by their variable names.</w:t>
      </w:r>
    </w:p>
    <w:p w14:paraId="093CEC90" w14:textId="77777777" w:rsidR="00DE6493" w:rsidRPr="00E02E5B" w:rsidRDefault="00DE6493" w:rsidP="00BD4331">
      <w:pPr>
        <w:adjustRightInd w:val="0"/>
        <w:snapToGrid w:val="0"/>
        <w:spacing w:line="360" w:lineRule="auto"/>
        <w:ind w:firstLineChars="200" w:firstLine="400"/>
        <w:rPr>
          <w:rFonts w:ascii="Times New Roman" w:hAnsi="Times New Roman" w:cs="Times New Roman"/>
          <w:sz w:val="20"/>
          <w:szCs w:val="21"/>
        </w:rPr>
      </w:pPr>
    </w:p>
    <w:sectPr w:rsidR="00DE6493" w:rsidRPr="00E0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4C04" w14:textId="77777777" w:rsidR="00F42133" w:rsidRDefault="00F42133" w:rsidP="00BD4331">
      <w:r>
        <w:separator/>
      </w:r>
    </w:p>
  </w:endnote>
  <w:endnote w:type="continuationSeparator" w:id="0">
    <w:p w14:paraId="72FE99B6" w14:textId="77777777" w:rsidR="00F42133" w:rsidRDefault="00F42133" w:rsidP="00BD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97A1" w14:textId="77777777" w:rsidR="00F42133" w:rsidRDefault="00F42133" w:rsidP="00BD4331">
      <w:r>
        <w:separator/>
      </w:r>
    </w:p>
  </w:footnote>
  <w:footnote w:type="continuationSeparator" w:id="0">
    <w:p w14:paraId="1AFE81A0" w14:textId="77777777" w:rsidR="00F42133" w:rsidRDefault="00F42133" w:rsidP="00BD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CC1"/>
    <w:multiLevelType w:val="multilevel"/>
    <w:tmpl w:val="774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75F68"/>
    <w:multiLevelType w:val="multilevel"/>
    <w:tmpl w:val="D14C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976CD"/>
    <w:multiLevelType w:val="multilevel"/>
    <w:tmpl w:val="B3B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03BF3"/>
    <w:multiLevelType w:val="multilevel"/>
    <w:tmpl w:val="162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51535"/>
    <w:multiLevelType w:val="multilevel"/>
    <w:tmpl w:val="727C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15E57"/>
    <w:multiLevelType w:val="multilevel"/>
    <w:tmpl w:val="DC18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0"/>
    <w:rsid w:val="004C5E50"/>
    <w:rsid w:val="00B016CB"/>
    <w:rsid w:val="00B9649B"/>
    <w:rsid w:val="00BD4331"/>
    <w:rsid w:val="00DE6493"/>
    <w:rsid w:val="00E02E5B"/>
    <w:rsid w:val="00F42133"/>
    <w:rsid w:val="00F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436E"/>
  <w15:chartTrackingRefBased/>
  <w15:docId w15:val="{66B64CD1-38B9-4B5F-82E7-91A4086B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D43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3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D433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D4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D4331"/>
    <w:rPr>
      <w:b/>
      <w:bCs/>
    </w:rPr>
  </w:style>
  <w:style w:type="character" w:customStyle="1" w:styleId="hyc-common-markdownlinkcontent">
    <w:name w:val="hyc-common-markdown__link__content"/>
    <w:basedOn w:val="a0"/>
    <w:rsid w:val="00BD4331"/>
  </w:style>
  <w:style w:type="character" w:styleId="HTML">
    <w:name w:val="HTML Code"/>
    <w:basedOn w:val="a0"/>
    <w:uiPriority w:val="99"/>
    <w:semiHidden/>
    <w:unhideWhenUsed/>
    <w:rsid w:val="00BD43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俊亮 徐</dc:creator>
  <cp:keywords/>
  <dc:description/>
  <cp:lastModifiedBy>俊亮 徐</cp:lastModifiedBy>
  <cp:revision>2</cp:revision>
  <dcterms:created xsi:type="dcterms:W3CDTF">2025-04-09T14:03:00Z</dcterms:created>
  <dcterms:modified xsi:type="dcterms:W3CDTF">2025-04-09T14:03:00Z</dcterms:modified>
</cp:coreProperties>
</file>