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2A57" w14:textId="77777777" w:rsidR="00370064" w:rsidRDefault="00000000">
      <w:pPr>
        <w:pStyle w:val="Heading1"/>
        <w:spacing w:before="300" w:after="150"/>
      </w:pPr>
      <w:r>
        <w:rPr>
          <w:b/>
          <w:bCs/>
        </w:rPr>
        <w:t>1. Project Goal</w:t>
      </w:r>
    </w:p>
    <w:p w14:paraId="5EBC1C01" w14:textId="77777777" w:rsidR="00370064" w:rsidRDefault="00000000">
      <w:pPr>
        <w:spacing w:after="120"/>
      </w:pPr>
      <w:r>
        <w:t>Build a self-service portal that enables the Retail team to identify consumer accounts that have been incorrectly charged an incoming wire fee for a returned payment, replacing the current manual, email-based daily report process.</w:t>
      </w:r>
    </w:p>
    <w:p w14:paraId="718B2861" w14:textId="77777777" w:rsidR="00370064" w:rsidRDefault="00000000">
      <w:pPr>
        <w:pStyle w:val="Heading1"/>
        <w:spacing w:before="300" w:after="150"/>
      </w:pPr>
      <w:r>
        <w:rPr>
          <w:b/>
          <w:bCs/>
        </w:rPr>
        <w:t>2. Project Background</w:t>
      </w:r>
    </w:p>
    <w:p w14:paraId="0298FF2A" w14:textId="77777777" w:rsidR="00370064" w:rsidRDefault="00000000">
      <w:pPr>
        <w:spacing w:after="120"/>
      </w:pPr>
      <w:r>
        <w:t>The issue originated from a billing program update intended to address international (Regulation E) return payments. That update did not account for certain conditions under which a payment does not appear as a return from a billing perspective.</w:t>
      </w:r>
    </w:p>
    <w:p w14:paraId="42818D5A" w14:textId="77777777" w:rsidR="00370064" w:rsidRDefault="00000000">
      <w:pPr>
        <w:spacing w:after="120"/>
      </w:pPr>
      <w:r>
        <w:t>This is compounded by the bank's two-stage posting process: an intraday “memo post” using one transaction code, followed by an end-of-day “hard post” that can carry a different transaction code. When the memo-posted and hard-posted codes diverge, Retail is unable to sub/reverse the associated return fee.</w:t>
      </w:r>
    </w:p>
    <w:p w14:paraId="7F189E25" w14:textId="77777777" w:rsidR="00370064" w:rsidRDefault="00000000">
      <w:pPr>
        <w:spacing w:after="120"/>
      </w:pPr>
      <w:r>
        <w:t>Working with the Retail team, the specific conditions driving these variances were identified. A daily SQL-based report (covering two distinct condition sets) was subsequently built with the MIS team and distributed to Retail by email. However, Retail also needs to filter out corporate/business accounts from personal consumer accounts, which the current report cannot support without additional rework and access. This impasse — combined with concerns about the auditability and durability of an email-based report — led to the proposal to build a data science-driven portal instead.</w:t>
      </w:r>
    </w:p>
    <w:p w14:paraId="6E77EA39" w14:textId="77777777" w:rsidR="00370064" w:rsidRDefault="00000000">
      <w:pPr>
        <w:spacing w:after="120"/>
      </w:pPr>
      <w:r>
        <w:t>This issue is tracked as a high-rated audit item under CFPB oversight, raising the importance of a defensible, well-documented, repeatable data source.</w:t>
      </w:r>
    </w:p>
    <w:p w14:paraId="0961856C" w14:textId="77777777" w:rsidR="00370064" w:rsidRDefault="00000000">
      <w:pPr>
        <w:pStyle w:val="Heading1"/>
        <w:spacing w:before="300" w:after="150"/>
      </w:pPr>
      <w:r>
        <w:rPr>
          <w:b/>
          <w:bCs/>
        </w:rPr>
        <w:t>3. Strategic Objectives</w:t>
      </w:r>
    </w:p>
    <w:p w14:paraId="7D482552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Identify consumer accounts that have been incorrectly charged an incoming wire fee for a return payment.</w:t>
      </w:r>
    </w:p>
    <w:p w14:paraId="53CCB79E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Enable Retail to proactively remediate impacted customers before they contact the bank (branch, call center, or email).</w:t>
      </w:r>
    </w:p>
    <w:p w14:paraId="6FAD19EA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Replace the fragile, undocumented email report with an auditable portal that is not dependent on a fixed date range and retains full underlying data for audit lookback.</w:t>
      </w:r>
    </w:p>
    <w:p w14:paraId="5EC806F7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Support CFPB compliance by demonstrating a rigorous, repeatable process for identifying and correcting customer impact.</w:t>
      </w:r>
    </w:p>
    <w:p w14:paraId="3AC00D5E" w14:textId="77777777" w:rsidR="00370064" w:rsidRDefault="00000000">
      <w:pPr>
        <w:pStyle w:val="Heading1"/>
        <w:spacing w:before="300" w:after="150"/>
      </w:pPr>
      <w:r>
        <w:rPr>
          <w:b/>
          <w:bCs/>
        </w:rPr>
        <w:t>4. Competitive Position in the Market</w:t>
      </w:r>
    </w:p>
    <w:p w14:paraId="74CDAE9B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Demonstrates proactive customer protection: issues are identified and </w:t>
      </w:r>
      <w:proofErr w:type="gramStart"/>
      <w:r>
        <w:t>remediated</w:t>
      </w:r>
      <w:proofErr w:type="gramEnd"/>
      <w:r>
        <w:t xml:space="preserve"> before the customer is aware, ahead of a complaint or inquiry.</w:t>
      </w:r>
    </w:p>
    <w:p w14:paraId="11B059E3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Provides a defensible audit trail: during CFPB or internal audit review, Retail can point directly to the portal, its data source, and its logic.</w:t>
      </w:r>
    </w:p>
    <w:p w14:paraId="35750A65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Automates a manual </w:t>
      </w:r>
      <w:proofErr w:type="gramStart"/>
      <w:r>
        <w:t>workflow:</w:t>
      </w:r>
      <w:proofErr w:type="gramEnd"/>
      <w:r>
        <w:t xml:space="preserve"> eliminates recurring manual report generation, replacing it with on-demand, self-service filtering (date range and other attributes) and downloadable extracts.</w:t>
      </w:r>
    </w:p>
    <w:p w14:paraId="661C8F9E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Leverages existing bank data/technology assets: an early proof of concept using an LLM-based classification approach achieved approximately 99.6% accuracy distinguishing corporate from personal accounts across sample sets of 2,000+ and 1,500+ records, indicating strong feasibility for automating the corporate/consumer filter Retail needs.</w:t>
      </w:r>
    </w:p>
    <w:p w14:paraId="70BE92D0" w14:textId="77777777" w:rsidR="00370064" w:rsidRDefault="00000000">
      <w:pPr>
        <w:pStyle w:val="Heading1"/>
        <w:spacing w:before="300" w:after="150"/>
      </w:pPr>
      <w:r>
        <w:rPr>
          <w:b/>
          <w:bCs/>
        </w:rPr>
        <w:t>5. Scope Notes / Open Items Carried from Kickoff</w:t>
      </w:r>
    </w:p>
    <w:p w14:paraId="5A131D69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Data source: confirm whether all required source data (Hogan Master, Core Post Transaction Daily, and related payments engine tables) is available in COD, or whether direct Oracle/SQL Developer access is required.</w:t>
      </w:r>
    </w:p>
    <w:p w14:paraId="2A5C3C0F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Entitlements: database read-only access and database firewall authentication requests submitted for approval.</w:t>
      </w:r>
    </w:p>
    <w:p w14:paraId="2F78C90B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Account linkage: join logic between payments engine data (credit/debit account number) and retail account/consumer indicators needs confirmation with Retail's analytics contact.</w:t>
      </w:r>
    </w:p>
    <w:p w14:paraId="47C56A4F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>Retail collaboration: a follow-up working session is needed with Retail and their analytics contact to define account-type filtering logic and personal-vs-business indicators.</w:t>
      </w:r>
    </w:p>
    <w:p w14:paraId="7B8C4531" w14:textId="77777777" w:rsidR="00370064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Refresh cadence: batch (e.g., nightly load into a </w:t>
      </w:r>
      <w:proofErr w:type="spellStart"/>
      <w:r>
        <w:t>queryable</w:t>
      </w:r>
      <w:proofErr w:type="spellEnd"/>
      <w:r>
        <w:t xml:space="preserve"> table) vs. on-demand query performance to be evaluated before finalizing the portal's data refresh approach.</w:t>
      </w:r>
    </w:p>
    <w:sectPr w:rsidR="0037006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F1484"/>
    <w:multiLevelType w:val="hybridMultilevel"/>
    <w:tmpl w:val="83A4B5CA"/>
    <w:lvl w:ilvl="0" w:tplc="920C6824">
      <w:start w:val="1"/>
      <w:numFmt w:val="bullet"/>
      <w:lvlText w:val="•"/>
      <w:lvlJc w:val="left"/>
      <w:pPr>
        <w:ind w:left="360" w:hanging="360"/>
      </w:pPr>
    </w:lvl>
    <w:lvl w:ilvl="1" w:tplc="8F44BEC2">
      <w:numFmt w:val="decimal"/>
      <w:lvlText w:val=""/>
      <w:lvlJc w:val="left"/>
    </w:lvl>
    <w:lvl w:ilvl="2" w:tplc="BBEA76B0">
      <w:numFmt w:val="decimal"/>
      <w:lvlText w:val=""/>
      <w:lvlJc w:val="left"/>
    </w:lvl>
    <w:lvl w:ilvl="3" w:tplc="98E8A216">
      <w:numFmt w:val="decimal"/>
      <w:lvlText w:val=""/>
      <w:lvlJc w:val="left"/>
    </w:lvl>
    <w:lvl w:ilvl="4" w:tplc="CF661120">
      <w:numFmt w:val="decimal"/>
      <w:lvlText w:val=""/>
      <w:lvlJc w:val="left"/>
    </w:lvl>
    <w:lvl w:ilvl="5" w:tplc="5F9078C4">
      <w:numFmt w:val="decimal"/>
      <w:lvlText w:val=""/>
      <w:lvlJc w:val="left"/>
    </w:lvl>
    <w:lvl w:ilvl="6" w:tplc="92401444">
      <w:numFmt w:val="decimal"/>
      <w:lvlText w:val=""/>
      <w:lvlJc w:val="left"/>
    </w:lvl>
    <w:lvl w:ilvl="7" w:tplc="C07021CE">
      <w:numFmt w:val="decimal"/>
      <w:lvlText w:val=""/>
      <w:lvlJc w:val="left"/>
    </w:lvl>
    <w:lvl w:ilvl="8" w:tplc="36B6688A">
      <w:numFmt w:val="decimal"/>
      <w:lvlText w:val=""/>
      <w:lvlJc w:val="left"/>
    </w:lvl>
  </w:abstractNum>
  <w:abstractNum w:abstractNumId="1" w15:restartNumberingAfterBreak="0">
    <w:nsid w:val="729D5164"/>
    <w:multiLevelType w:val="hybridMultilevel"/>
    <w:tmpl w:val="5316CA84"/>
    <w:lvl w:ilvl="0" w:tplc="C1B84486">
      <w:start w:val="1"/>
      <w:numFmt w:val="bullet"/>
      <w:lvlText w:val="●"/>
      <w:lvlJc w:val="left"/>
      <w:pPr>
        <w:ind w:left="720" w:hanging="360"/>
      </w:pPr>
    </w:lvl>
    <w:lvl w:ilvl="1" w:tplc="2A56B066">
      <w:start w:val="1"/>
      <w:numFmt w:val="bullet"/>
      <w:lvlText w:val="○"/>
      <w:lvlJc w:val="left"/>
      <w:pPr>
        <w:ind w:left="1440" w:hanging="360"/>
      </w:pPr>
    </w:lvl>
    <w:lvl w:ilvl="2" w:tplc="AAA64A98">
      <w:start w:val="1"/>
      <w:numFmt w:val="bullet"/>
      <w:lvlText w:val="■"/>
      <w:lvlJc w:val="left"/>
      <w:pPr>
        <w:ind w:left="2160" w:hanging="360"/>
      </w:pPr>
    </w:lvl>
    <w:lvl w:ilvl="3" w:tplc="1FBE367C">
      <w:start w:val="1"/>
      <w:numFmt w:val="bullet"/>
      <w:lvlText w:val="●"/>
      <w:lvlJc w:val="left"/>
      <w:pPr>
        <w:ind w:left="2880" w:hanging="360"/>
      </w:pPr>
    </w:lvl>
    <w:lvl w:ilvl="4" w:tplc="90DCC1F2">
      <w:start w:val="1"/>
      <w:numFmt w:val="bullet"/>
      <w:lvlText w:val="○"/>
      <w:lvlJc w:val="left"/>
      <w:pPr>
        <w:ind w:left="3600" w:hanging="360"/>
      </w:pPr>
    </w:lvl>
    <w:lvl w:ilvl="5" w:tplc="11D0AF0C">
      <w:start w:val="1"/>
      <w:numFmt w:val="bullet"/>
      <w:lvlText w:val="■"/>
      <w:lvlJc w:val="left"/>
      <w:pPr>
        <w:ind w:left="4320" w:hanging="360"/>
      </w:pPr>
    </w:lvl>
    <w:lvl w:ilvl="6" w:tplc="F0BE4D1E">
      <w:start w:val="1"/>
      <w:numFmt w:val="bullet"/>
      <w:lvlText w:val="●"/>
      <w:lvlJc w:val="left"/>
      <w:pPr>
        <w:ind w:left="5040" w:hanging="360"/>
      </w:pPr>
    </w:lvl>
    <w:lvl w:ilvl="7" w:tplc="EFE8511C">
      <w:start w:val="1"/>
      <w:numFmt w:val="bullet"/>
      <w:lvlText w:val="●"/>
      <w:lvlJc w:val="left"/>
      <w:pPr>
        <w:ind w:left="5760" w:hanging="360"/>
      </w:pPr>
    </w:lvl>
    <w:lvl w:ilvl="8" w:tplc="2DBCCDEA">
      <w:start w:val="1"/>
      <w:numFmt w:val="bullet"/>
      <w:lvlText w:val="●"/>
      <w:lvlJc w:val="left"/>
      <w:pPr>
        <w:ind w:left="6480" w:hanging="360"/>
      </w:pPr>
    </w:lvl>
  </w:abstractNum>
  <w:num w:numId="1" w16cid:durableId="1607158776">
    <w:abstractNumId w:val="1"/>
    <w:lvlOverride w:ilvl="0">
      <w:startOverride w:val="1"/>
    </w:lvlOverride>
  </w:num>
  <w:num w:numId="2" w16cid:durableId="1279987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064"/>
    <w:rsid w:val="00111161"/>
    <w:rsid w:val="00370064"/>
    <w:rsid w:val="0091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FC22"/>
  <w15:docId w15:val="{3C80B6B5-B653-400F-B82F-B96C4737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ENGIN TURKMEN</cp:lastModifiedBy>
  <cp:revision>2</cp:revision>
  <dcterms:created xsi:type="dcterms:W3CDTF">2026-07-17T18:52:00Z</dcterms:created>
  <dcterms:modified xsi:type="dcterms:W3CDTF">2026-07-17T18:58:00Z</dcterms:modified>
</cp:coreProperties>
</file>