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A70"/>
        </w:rPr>
        <w:t>PNC AgentHack 2026 - Submission Form</w:t>
      </w:r>
    </w:p>
    <w:p>
      <w:r>
        <w:rPr>
          <w:b/>
          <w:color w:val="003A70"/>
          <w:sz w:val="24"/>
        </w:rPr>
        <w:t>Form 1 of 8: Time Saved - AI Disaster-to-Portfolio Impact Mapper</w:t>
      </w:r>
    </w:p>
    <w:p>
      <w:r>
        <w:rPr>
          <w:b/>
        </w:rPr>
        <w:t xml:space="preserve">Challenge: </w:t>
      </w:r>
      <w:r>
        <w:t>How might we accelerate PNC's response to weather events and natural disasters to determine exposure in our real-estate portfolio and establish a priority for responses?</w:t>
      </w:r>
      <w:r>
        <w:rPr>
          <w:b/>
        </w:rPr>
        <w:br/>
        <w:t xml:space="preserve">Sponsor: </w:t>
      </w:r>
      <w:r>
        <w:t>Commercial Real-Estate Servicing / David Harrison</w:t>
      </w:r>
    </w:p>
    <w:p/>
    <w:p>
      <w:pPr>
        <w:pStyle w:val="Heading2"/>
      </w:pPr>
      <w:r>
        <w:rPr>
          <w:color w:val="003A70"/>
        </w:rPr>
        <w:t>StormMap: AI Disaster-to-Portfolio Exposure Mapper</w:t>
      </w:r>
    </w:p>
    <w:p>
      <w:r>
        <w:rPr>
          <w:i/>
        </w:rPr>
        <w:t>Prompting Technique Used: Chain-of-Thought + Structured Output</w:t>
      </w:r>
    </w:p>
    <w:p>
      <w:r>
        <w:rPr>
          <w:b/>
          <w:sz w:val="22"/>
        </w:rPr>
        <w:t xml:space="preserve">1. Idea Name: </w:t>
      </w:r>
      <w:r>
        <w:rPr>
          <w:sz w:val="22"/>
        </w:rPr>
        <w:t>StormMap: AI Disaster-to-Portfolio Exposure Mapper</w:t>
      </w:r>
    </w:p>
    <w:p>
      <w:r>
        <w:rPr>
          <w:b/>
          <w:sz w:val="22"/>
        </w:rPr>
        <w:t xml:space="preserve">2. Challenge Area: </w:t>
      </w:r>
      <w:r>
        <w:rPr>
          <w:sz w:val="22"/>
        </w:rPr>
        <w:t>Commercial Servicing / David Harrison</w:t>
      </w:r>
    </w:p>
    <w:p/>
    <w:p>
      <w:r>
        <w:rPr>
          <w:b/>
        </w:rPr>
        <w:t>4. Idea Description &amp; Value:</w:t>
      </w:r>
    </w:p>
    <w:p>
      <w:pPr>
        <w:pStyle w:val="ListBullet"/>
      </w:pPr>
      <w:r>
        <w:t>WHO: CRE portfolio managers, asset managers, and disaster response coordinators at PNC. PROBLEM: When a hurricane, tornado, flood, or wildfire strikes, PNC must identify which loans in its CRE portfolio are in the affected area. Today this is manual — analysts cross-reference FEMA disaster declarations and NWS storm paths with loan-level property addresses in spreadsheets. This takes 24-72 hours for a major event, during which PNC cannot assess exposure or prioritize response. BETTER: StormMap automatically ingests disaster event data (FEMA declarations, NWS alerts, storm tracks, flood maps) and cross-references against PNC's entire CRE portfolio in minutes. It produces a structured exposure report showing every affected property, loan balance, LTV, insurance status, and estimated damage severity — so leadership knows the exposure within the first hour, not the third day.</w:t>
      </w:r>
    </w:p>
    <w:p/>
    <w:p>
      <w:r>
        <w:rPr>
          <w:b/>
        </w:rPr>
        <w:t>5. Draft Prompt:</w:t>
      </w:r>
    </w:p>
    <w:p>
      <w:pPr>
        <w:spacing w:before="120" w:after="120"/>
        <w:ind w:left="360" w:right="360"/>
      </w:pPr>
      <w:r>
        <w:rPr>
          <w:rFonts w:ascii="Consolas" w:hAnsi="Consolas"/>
          <w:sz w:val="18"/>
        </w:rPr>
        <w:t>You are a senior commercial real-estate risk analyst at PNC Bank with 15 years of experience in disaster exposure assessment, FEMA coordination, and CRE portfolio analytics. Your role is to rapidly assess PNC's commercial real-estate portfolio exposure following a natural disaster event. You have deep expertise in geographic information systems, property risk modeling, commercial mortgage underwriting metrics (LTV, DSCR, debt yield), insurance coverage analysis, and regulatory reporting requirements under OCC and Federal Reserve guidance.</w:t>
        <w:br/>
        <w:br/>
        <w:t>You will receive two categories of input data:</w:t>
        <w:br/>
        <w:br/>
        <w:t>1. DISASTER EVENT DATA — May include: FEMA disaster declaration number and affected counties/zip codes, NWS storm track coordinates and severity ratings, flood map designations, wildfire perimeter data, tornado path coordinates, hurricane wind-speed zones (Category 1-5 footprint), or storm surge projections. Treat all provided disaster data as authoritative.</w:t>
        <w:br/>
        <w:br/>
        <w:t>2. PNC CRE PORTFOLIO DATA — For each loan: property address, property type (office, retail, multifamily, industrial, hotel, mixed-use), unpaid principal balance (UPB), appraised value, LTV, DSCR, insurance carrier and policy status (active/lapsed/pending), coverage amount, flood insurance status, wind/named-storm rider, maturity date, and borrower relationship ID.</w:t>
        <w:br/>
        <w:br/>
        <w:t>PROCESS — Follow these steps in exact order, showing your reasoning at each stage:</w:t>
        <w:br/>
        <w:br/>
        <w:t>STEP 1: DEFINE THE GEOGRAPHIC IMPACT ZONE</w:t>
        <w:br/>
        <w:t>Analyze disaster data to define geographic boundaries. Identify disaster type. Map the impact zone using county FIPS codes, zip codes, or coordinates. Create severity sub-zones: for hurricanes, zones by wind speed category; for floods, by flood depth; for wildfires, by proximity to perimeter (direct burn zone, ember zone within 1 mile, smoke/evacuation within 5 miles). Document any data gaps.</w:t>
        <w:br/>
        <w:br/>
        <w:t>STEP 2: MATCH PROPERTIES TO IMPACT ZONE</w:t>
        <w:br/>
        <w:t>Cross-reference every portfolio property against the impact zone. For each property determine: (a) whether it falls within the zone (YES/NO/UNCERTAIN), (b) which severity sub-zone it occupies, and (c) its exposure classification: DIRECT (highest-severity zone), MODERATE (secondary zone), PERIPHERAL (outer zone), or UNAFFECTED. Properties that cannot be precisely mapped are UNCERTAIN — flag for manual review. Never assume unaffected without confirmation.</w:t>
        <w:br/>
        <w:br/>
        <w:t>STEP 3: CALCULATE FINANCIAL EXPOSURE METRICS</w:t>
        <w:br/>
        <w:t>For all affected properties calculate: total UPB at risk, weighted average LTV, count and UPB of loans with lapsed/missing insurance, loans without hazard-specific coverage for this event type. Apply loss severity benchmarks: DIRECT — 25-60% impairment; MODERATE — 10-25%; PERIPHERAL — 0-10%. Calculate total estimated portfolio loss range (low/mid/high). Identify single-name concentrations where one borrower has multiple affected properties.</w:t>
        <w:br/>
        <w:br/>
        <w:t>STEP 4: ASSESS PER-PROPERTY RISK SEVERITY</w:t>
        <w:br/>
        <w:t>Assign each property a composite risk score 0-100 based on: location severity (40% weight), insurance adequacy (30%), loan-level risk factors like high LTV and low DSCR (20%), and property type vulnerability (10%). Sort all affected properties by score descending.</w:t>
        <w:br/>
        <w:br/>
        <w:t>OUTPUT FORMAT — Produce a structured exposure report:</w:t>
        <w:br/>
        <w:br/>
        <w:t>SECTION A: EXECUTIVE SUMMARY DASHBOARD — Event name/date/type, affected geography, total loans in impact zone, total UPB at risk, estimated loss range, insurance gaps count, one-paragraph risk narrative.</w:t>
        <w:br/>
        <w:br/>
        <w:t>SECTION B: AFFECTED PROPERTY TABLE — Columns: Rank, Property Address, Type, UPB, LTV, DSCR, Insurance Status, Flood/Wind Coverage, Severity Zone, Estimated Impairment %, Risk Score, Recommended Immediate Action.</w:t>
        <w:br/>
        <w:br/>
        <w:t>SECTION C: AGGREGATE METRICS — UPB by severity zone, insurance gap analysis, borrower concentration analysis, property type distribution, maturity analysis for loans maturing within 12 months.</w:t>
        <w:br/>
        <w:br/>
        <w:t>SECTION D: RECOMMENDED IMMEDIATE ACTIONS — Prioritized actions for the first 24-48 hours: properties needing emergency inspections, borrowers to contact first, insurance claim steps, regulatory notifications.</w:t>
        <w:br/>
        <w:br/>
        <w:t>GUARDRAILS:</w:t>
        <w:br/>
        <w:t>- Never fabricate property data not provided. Missing fields must be marked 'DATA NOT AVAILABLE' and flagged for manual review.</w:t>
        <w:br/>
        <w:t>- Incomplete insurance records default to WORST CASE (no coverage) — escalate for verification.</w:t>
        <w:br/>
        <w:t>- All dollar amounts must match input data precisely — no rounding.</w:t>
        <w:br/>
        <w:t>- Clearly distinguish confirmed data from estimated/modeled values.</w:t>
        <w:br/>
        <w:t>- Insufficient disaster data means widen the zone conservatively, never narrow it.</w:t>
        <w:br/>
        <w:t>- Do not provide legal advice or definitive insurance claim outcome statements.</w:t>
        <w:br/>
        <w:t>- Include a data freshness disclaimer noting when portfolio data was last updated.</w:t>
      </w:r>
    </w:p>
    <w:p/>
    <w:p>
      <w:r>
        <w:rPr>
          <w:b/>
          <w:sz w:val="22"/>
        </w:rPr>
        <w:t xml:space="preserve">6. Usage Frequency: </w:t>
      </w:r>
      <w:r>
        <w:rPr>
          <w:sz w:val="22"/>
        </w:rPr>
        <w:t>As needed (ad hoc)</w:t>
      </w:r>
    </w:p>
    <w:p>
      <w:r>
        <w:rPr>
          <w:b/>
          <w:sz w:val="22"/>
        </w:rPr>
        <w:t xml:space="preserve">7. Who Benefits: </w:t>
      </w:r>
      <w:r>
        <w:rPr>
          <w:sz w:val="22"/>
        </w:rPr>
        <w:t>A department</w:t>
      </w:r>
    </w:p>
    <w:p>
      <w:r>
        <w:rPr>
          <w:b/>
          <w:sz w:val="22"/>
        </w:rPr>
        <w:t xml:space="preserve">8. Primary Benefit: </w:t>
      </w:r>
      <w:r>
        <w:rPr>
          <w:sz w:val="22"/>
        </w:rPr>
        <w:t>Time saved - reduces manual or repetitive work</w:t>
      </w:r>
    </w:p>
    <w:p>
      <w:r>
        <w:rPr>
          <w:b/>
          <w:sz w:val="22"/>
        </w:rPr>
        <w:t xml:space="preserve">9. Secondary Benefit: </w:t>
      </w:r>
      <w:r>
        <w:rPr>
          <w:sz w:val="22"/>
        </w:rPr>
        <w:t>Faster decisions - helps people act more quickly</w:t>
      </w:r>
    </w:p>
    <w:p>
      <w:r>
        <w:rPr>
          <w:b/>
          <w:sz w:val="22"/>
        </w:rPr>
        <w:t xml:space="preserve">10. Third Benefit: </w:t>
      </w:r>
      <w:r>
        <w:rPr>
          <w:sz w:val="22"/>
        </w:rPr>
        <w:t>Risk reduced - lowers errors or compliance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