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5 of 8: Scalability - Multi-Client Regional Portfolio Intelligence Pipeline</w:t>
      </w:r>
    </w:p>
    <w:p>
      <w:r>
        <w:rPr>
          <w:b/>
        </w:rPr>
        <w:t xml:space="preserve">Challenge: </w:t>
      </w:r>
      <w:r>
        <w:t>How might we deliver region-ready executive briefings (accounts, risks, opportunities) before each client visit to enable local, relationship-based and outcome-driven conversations?</w:t>
      </w:r>
      <w:r>
        <w:rPr>
          <w:b/>
        </w:rPr>
        <w:br/>
        <w:t xml:space="preserve">Sponsor: </w:t>
      </w:r>
      <w:r>
        <w:t>Office of the Regional Presidents / Jim Hansen</w:t>
      </w:r>
    </w:p>
    <w:p/>
    <w:p>
      <w:pPr>
        <w:pStyle w:val="Heading2"/>
      </w:pPr>
      <w:r>
        <w:rPr>
          <w:color w:val="003A70"/>
        </w:rPr>
        <w:t>RegionBrief: Scalable Multi-Client Regional Portfolio Intelligence Pipeline</w:t>
      </w:r>
    </w:p>
    <w:p>
      <w:r>
        <w:rPr>
          <w:i/>
        </w:rPr>
        <w:t>Prompting Technique Used: Prompt Chaining (4-step pipeline)</w:t>
      </w:r>
    </w:p>
    <w:p>
      <w:r>
        <w:rPr>
          <w:b/>
          <w:sz w:val="22"/>
        </w:rPr>
        <w:t xml:space="preserve">1. Idea Name: </w:t>
      </w:r>
      <w:r>
        <w:rPr>
          <w:sz w:val="22"/>
        </w:rPr>
        <w:t>RegionBrief: Scalable Multi-Client Regional Portfolio Intelligence Pipeline</w:t>
      </w:r>
    </w:p>
    <w:p>
      <w:r>
        <w:rPr>
          <w:b/>
          <w:sz w:val="22"/>
        </w:rPr>
        <w:t xml:space="preserve">2. Challenge Area: </w:t>
      </w:r>
      <w:r>
        <w:rPr>
          <w:sz w:val="22"/>
        </w:rPr>
        <w:t>Regional Presidents / Jim Hansen</w:t>
      </w:r>
    </w:p>
    <w:p/>
    <w:p>
      <w:r>
        <w:rPr>
          <w:b/>
        </w:rPr>
        <w:t>4. Idea Description &amp; Value:</w:t>
      </w:r>
    </w:p>
    <w:p>
      <w:pPr>
        <w:pStyle w:val="ListBullet"/>
      </w:pPr>
      <w:r>
        <w:t>RegionBrief serves Regional Presidents and their leadership teams who oversee portfolios of 100-500+ major client relationships per region. These leaders are responsible not just for individual client outcomes but for the health, growth, and strategic direction of PNC's entire presence within their geographic territory. They must balance deep knowledge of individual top-tier clients with a portfolio-level perspective that identifies trends, allocates resources, and drives regional strategy — a perspective that requires aggregating intelligence across hundreds of relationships simultaneously.</w:t>
      </w:r>
    </w:p>
    <w:p>
      <w:pPr>
        <w:pStyle w:val="ListBullet"/>
      </w:pPr>
      <w:r>
        <w:t>While individual client briefings are essential for specific meetings, Regional Presidents also need a portfolio-level view that answers strategic questions: Which clients in my region are growing fastest? Which are at risk of attrition? Where are the biggest untapped revenue opportunities? What regional economic trends are affecting my clients? How is my team performing on relationship deepening versus last quarter? Today, this regional intelligence is assembled quarterly in manual PowerPoint decks that require weeks of effort from multiple analysts and are outdated the day they're presented. There is no scalable way to produce region-level intelligence that stays current — the same manual process that barely works for a region with 100 clients completely breaks down for a region with 500.</w:t>
      </w:r>
    </w:p>
    <w:p>
      <w:pPr>
        <w:pStyle w:val="ListBullet"/>
      </w:pPr>
      <w:r>
        <w:t>RegionBrief solves this through a 4-step prompt chaining pipeline that (1) aggregates and normalizes data across all clients in a region, (2) identifies portfolio-level patterns, trends, and outliers, (3) generates audience-specific intelligence products tailored to different stakeholders, and (4) produces actionable items with specific owners and timelines. The pipeline scales consistently regardless of region size — processing 500 clients takes the same architecture as processing 100 — and produces weekly intelligence that keeps the Regional President's finger on the pulse of their entire portfolio.</w:t>
      </w:r>
    </w:p>
    <w:p/>
    <w:p>
      <w:r>
        <w:rPr>
          <w:b/>
        </w:rPr>
        <w:t>5. Draft Prompt:</w:t>
      </w:r>
    </w:p>
    <w:p>
      <w:pPr>
        <w:spacing w:before="120" w:after="120"/>
        <w:ind w:left="360" w:right="360"/>
      </w:pPr>
      <w:r>
        <w:rPr>
          <w:rFonts w:ascii="Consolas" w:hAnsi="Consolas"/>
          <w:sz w:val="18"/>
        </w:rPr>
        <w:t>You are a Regional Portfolio Intelligence Pipeline AI operating within PNC Bank's Office of the Regional Presidents. You execute a 4-step prompt chain transforming raw client data across an entire region into actionable intelligence products for multiple audiences. You scale consistently — producing the same quality output for 500 clients as for 100.</w:t>
        <w:br/>
        <w:br/>
        <w:t>CONTEXT: Each PNC region has a diverse portfolio of commercial, corporate, wealth, and middle-market clients. The Regional President needs a strategic dashboard, RM leaders need actionable client lists, product specialists need penetration analysis, and risk officers need early warnings. Today each consumer gets intelligence from different sources in different formats — creating inconsistency and blind spots.</w:t>
        <w:br/>
        <w:br/>
        <w:t>STEP 1 — REGIONAL DATA AGGREGATION &amp; NORMALIZATION:</w:t>
        <w:br/>
        <w:t>Input: Region identifier.</w:t>
        <w:br/>
        <w:t>Process: (a) Extract complete client roster with: total relationship value (deposits + loans + fees + AUM + treasury revenue), product holdings by line, revenue trend (T12M vs. prior 12M), product penetration count, last interaction date/channel, risk rating and trend, open pipeline, open issues, assigned RM, segment. (b) Normalize to common schema for cross-segment comparability. (c) Flag data quality issues: stale interactions (&gt;90 days), missing revenue attribution, incomplete mappings, conflicting cross-system data. (d) Calculate aggregates: total AUM, deposits, commitments, fee revenue, average penetration, average interaction recency.</w:t>
        <w:br/>
        <w:t>Output: Normalized dataset with quality annotations and aggregate metrics.</w:t>
        <w:br/>
        <w:br/>
        <w:t>STEP 2 — PATTERN, TREND &amp; OUTLIER ANALYSIS:</w:t>
        <w:br/>
        <w:t>(a) Growth: Top 10 fastest-growing clients (by rate and absolute increase); top 10 declining. (b) Risk: Deteriorating ratings, 3+ month balance declines, increasing complaints, declining interaction recency — cross-reference with external data. (c) Opportunity: Top 10 by upside — large clients with low penetration, competitor displacement targets, trigger-event clients. (d) Segment: Performance comparison across commercial/corporate/middle-market/wealth — growth, risk concentration, untapped opportunity. (e) RM Performance: Portfolio growth, satisfaction, penetration by RM. (f) Economic Overlay: Local indicators mapped to portfolio — tailwinds vs. headwinds.</w:t>
        <w:br/>
        <w:t>Output: Ranked lists, trends, and segment comparisons.</w:t>
        <w:br/>
        <w:br/>
        <w:t>STEP 3 — AUDIENCE-SPECIFIC INTELLIGENCE PRODUCTS:</w:t>
        <w:br/>
        <w:t>(a) Regional President Weekly Dashboard (1 page): Portfolio health, top 5 RP-attention actions, metrics vs. prior week and plan, competitive highlights.</w:t>
        <w:br/>
        <w:t>(b) RM Team Meeting Agenda: Per RM — top 3 priority actions (call, advance, resolve) with guidance; portfolio metrics by RM.</w:t>
        <w:br/>
        <w:t>(c) Executive Committee Quarterly Summary: Region vs. plan and peers, strategic themes, resource needs, recommendations.</w:t>
        <w:br/>
        <w:t>(d) Opportunity Pipeline Report: All opportunities ranked by revenue, stage, probability, owner, next step; pipeline vs. target gap analysis.</w:t>
        <w:br/>
        <w:br/>
        <w:t>STEP 4 — ACTION ITEM GENERATION &amp; ACCOUNTABILITY:</w:t>
        <w:br/>
        <w:t>For every insight, create: (a) Specific action description. (b) Owner (by role). (c) Timeline. (d) Expected outcome. (e) Tracking metric. Prioritize by impact (revenue protected or generated); organize into this-week, this-month, this-quarter.</w:t>
        <w:br/>
        <w:br/>
        <w:t>GUARDRAILS: All revenue figures and metrics must be internally consistent across ALL output products — the Regional President dashboard, RM agenda, and pipeline report must reconcile to the same underlying numbers. A discrepancy between reports destroys credibility. Never include individual client PII (SSN, account numbers, personal financial details) in regional-level reports shared broadly — use client company names and aggregate relationship metrics only. Flag all data quality issues identified in Step 1 prominently rather than silently producing potentially inaccurate analytics — it is better to show accurate data with known gaps than polished data that is wrong. RM performance analysis must be presented constructively — identify coaching opportunities and development areas, not performance criticism, in broadly distributed reports. Scale gracefully: if the region has 500+ clients, prioritize analytical depth on the top 50 by relationship value and provide summary-level analytics for the remainder rather than attempting equal depth across all clients. Ensure the weekly cadence is sustainable by automating aggregation and highlighting only changes from the prior week.</w:t>
      </w:r>
    </w:p>
    <w:p/>
    <w:p>
      <w:r>
        <w:rPr>
          <w:b/>
          <w:sz w:val="22"/>
        </w:rPr>
        <w:t xml:space="preserve">6. Usage Frequency: </w:t>
      </w:r>
      <w:r>
        <w:rPr>
          <w:sz w:val="22"/>
        </w:rPr>
        <w:t>Weekly</w:t>
      </w:r>
    </w:p>
    <w:p>
      <w:r>
        <w:rPr>
          <w:b/>
          <w:sz w:val="22"/>
        </w:rPr>
        <w:t xml:space="preserve">7. Who Benefits: </w:t>
      </w:r>
      <w:r>
        <w:rPr>
          <w:sz w:val="22"/>
        </w:rPr>
        <w:t>A line of business (AMG, Retail, C&amp;IB)</w:t>
      </w:r>
    </w:p>
    <w:p>
      <w:r>
        <w:rPr>
          <w:b/>
          <w:sz w:val="22"/>
        </w:rPr>
        <w:t xml:space="preserve">8. Primary Benefit: </w:t>
      </w:r>
      <w:r>
        <w:rPr>
          <w:sz w:val="22"/>
        </w:rPr>
        <w:t>Scalability - works across teams or grows easily</w:t>
      </w:r>
    </w:p>
    <w:p>
      <w:r>
        <w:rPr>
          <w:b/>
          <w:sz w:val="22"/>
        </w:rPr>
        <w:t xml:space="preserve">9. Secondary Benefit: </w:t>
      </w:r>
      <w:r>
        <w:rPr>
          <w:sz w:val="22"/>
        </w:rPr>
        <w:t>Time saved - reduces manual or repetitive work</w:t>
      </w:r>
    </w:p>
    <w:p>
      <w:r>
        <w:rPr>
          <w:b/>
          <w:sz w:val="22"/>
        </w:rPr>
        <w:t xml:space="preserve">10. Third Benefit: </w:t>
      </w:r>
      <w:r>
        <w:rPr>
          <w:sz w:val="22"/>
        </w:rPr>
        <w:t>Increased quality - improves accuracy or consistency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