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914a00157ab2ce146a410704b2d9529efa3f9c"/>
    <w:p>
      <w:pPr>
        <w:pStyle w:val="Heading1"/>
      </w:pPr>
      <w:r>
        <w:t xml:space="preserve">TPM-Based Secure Key Management and Device Authentication System on Windows 11</w:t>
      </w:r>
    </w:p>
    <w:bookmarkStart w:id="22" w:name="project-overview"/>
    <w:p>
      <w:pPr>
        <w:pStyle w:val="Heading2"/>
      </w:pPr>
      <w:r>
        <w:t xml:space="preserve">1. Project Overview</w:t>
      </w:r>
    </w:p>
    <w:bookmarkStart w:id="20" w:name="title"/>
    <w:p>
      <w:pPr>
        <w:pStyle w:val="Heading3"/>
      </w:pPr>
      <w:r>
        <w:t xml:space="preserve">Title</w:t>
      </w:r>
    </w:p>
    <w:p>
      <w:pPr>
        <w:pStyle w:val="FirstParagraph"/>
      </w:pPr>
      <w:r>
        <w:rPr>
          <w:b/>
          <w:bCs/>
        </w:rPr>
        <w:t xml:space="preserve">TPM-Based Secure Key Management and Device Authentication System Using Windows TPM 2.0</w:t>
      </w:r>
    </w:p>
    <w:bookmarkEnd w:id="20"/>
    <w:bookmarkStart w:id="21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The primary objective of this project is to improve the security of device authentication and cryptographic key management by utilizing the Trusted Platform Module (TPM) available on modern Windows systems.</w:t>
      </w:r>
    </w:p>
    <w:p>
      <w:pPr>
        <w:pStyle w:val="BodyText"/>
      </w:pPr>
      <w:r>
        <w:t xml:space="preserve">Traditional authentication systems often store private keys as software files (e.g., private.pem), making them vulnerable to:</w:t>
      </w:r>
    </w:p>
    <w:p>
      <w:pPr>
        <w:pStyle w:val="Compact"/>
        <w:numPr>
          <w:ilvl w:val="0"/>
          <w:numId w:val="1001"/>
        </w:numPr>
      </w:pPr>
      <w:r>
        <w:t xml:space="preserve">Key theft</w:t>
      </w:r>
    </w:p>
    <w:p>
      <w:pPr>
        <w:pStyle w:val="Compact"/>
        <w:numPr>
          <w:ilvl w:val="0"/>
          <w:numId w:val="1001"/>
        </w:numPr>
      </w:pPr>
      <w:r>
        <w:t xml:space="preserve">Malware attacks</w:t>
      </w:r>
    </w:p>
    <w:p>
      <w:pPr>
        <w:pStyle w:val="Compact"/>
        <w:numPr>
          <w:ilvl w:val="0"/>
          <w:numId w:val="1001"/>
        </w:numPr>
      </w:pPr>
      <w:r>
        <w:t xml:space="preserve">Unauthorized copying</w:t>
      </w:r>
    </w:p>
    <w:p>
      <w:pPr>
        <w:pStyle w:val="Compact"/>
        <w:numPr>
          <w:ilvl w:val="0"/>
          <w:numId w:val="1001"/>
        </w:numPr>
      </w:pPr>
      <w:r>
        <w:t xml:space="preserve">Insider threats</w:t>
      </w:r>
    </w:p>
    <w:p>
      <w:pPr>
        <w:pStyle w:val="Compact"/>
        <w:numPr>
          <w:ilvl w:val="0"/>
          <w:numId w:val="1001"/>
        </w:numPr>
      </w:pPr>
      <w:r>
        <w:t xml:space="preserve">Credential compromise</w:t>
      </w:r>
    </w:p>
    <w:p>
      <w:pPr>
        <w:pStyle w:val="FirstParagraph"/>
      </w:pPr>
      <w:r>
        <w:t xml:space="preserve">To address these challenges, this project leverages TPM 2.0 to provide hardware-backed cryptographic protection where private keys are generated and stored securely and are never exposed to applications or users.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5" w:name="background"/>
    <w:p>
      <w:pPr>
        <w:pStyle w:val="Heading1"/>
      </w:pPr>
      <w:r>
        <w:t xml:space="preserve">2. Background</w:t>
      </w:r>
    </w:p>
    <w:bookmarkStart w:id="24" w:name="trusted-platform-module-tpm"/>
    <w:p>
      <w:pPr>
        <w:pStyle w:val="Heading2"/>
      </w:pPr>
      <w:r>
        <w:t xml:space="preserve">2.1 Trusted Platform Module (TPM)</w:t>
      </w:r>
    </w:p>
    <w:p>
      <w:pPr>
        <w:pStyle w:val="FirstParagraph"/>
      </w:pPr>
      <w:r>
        <w:t xml:space="preserve">Trusted Platform Module (TPM) is a dedicated hardware security processor designed to provide hardware-based security functions.</w:t>
      </w:r>
    </w:p>
    <w:p>
      <w:pPr>
        <w:pStyle w:val="BodyText"/>
      </w:pPr>
      <w:r>
        <w:t xml:space="preserve">TPM acts as a hardware root of trust and offers:</w:t>
      </w:r>
    </w:p>
    <w:p>
      <w:pPr>
        <w:pStyle w:val="Compact"/>
        <w:numPr>
          <w:ilvl w:val="0"/>
          <w:numId w:val="1002"/>
        </w:numPr>
      </w:pPr>
      <w:r>
        <w:t xml:space="preserve">Secure key generation</w:t>
      </w:r>
    </w:p>
    <w:p>
      <w:pPr>
        <w:pStyle w:val="Compact"/>
        <w:numPr>
          <w:ilvl w:val="0"/>
          <w:numId w:val="1002"/>
        </w:numPr>
      </w:pPr>
      <w:r>
        <w:t xml:space="preserve">Secure key storage</w:t>
      </w:r>
    </w:p>
    <w:p>
      <w:pPr>
        <w:pStyle w:val="Compact"/>
        <w:numPr>
          <w:ilvl w:val="0"/>
          <w:numId w:val="1002"/>
        </w:numPr>
      </w:pPr>
      <w:r>
        <w:t xml:space="preserve">Cryptographic operations</w:t>
      </w:r>
    </w:p>
    <w:p>
      <w:pPr>
        <w:pStyle w:val="Compact"/>
        <w:numPr>
          <w:ilvl w:val="0"/>
          <w:numId w:val="1002"/>
        </w:numPr>
      </w:pPr>
      <w:r>
        <w:t xml:space="preserve">Platform integrity measurements</w:t>
      </w:r>
    </w:p>
    <w:p>
      <w:pPr>
        <w:pStyle w:val="Compact"/>
        <w:numPr>
          <w:ilvl w:val="0"/>
          <w:numId w:val="1002"/>
        </w:numPr>
      </w:pPr>
      <w:r>
        <w:t xml:space="preserve">Device identity protection</w:t>
      </w:r>
    </w:p>
    <w:p>
      <w:pPr>
        <w:pStyle w:val="FirstParagraph"/>
      </w:pPr>
      <w:r>
        <w:t xml:space="preserve">Modern Windows 10 and Windows 11 systems include TPM 2.0 support and provide APIs that allow applications to utilize TPM-protected keys.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system-architecture"/>
    <w:p>
      <w:pPr>
        <w:pStyle w:val="Heading1"/>
      </w:pPr>
      <w:r>
        <w:t xml:space="preserve">3. System Architecture</w:t>
      </w:r>
    </w:p>
    <w:bookmarkStart w:id="26" w:name="high-level-architecture"/>
    <w:p>
      <w:pPr>
        <w:pStyle w:val="Heading2"/>
      </w:pPr>
      <w:r>
        <w:t xml:space="preserve">3.1 High-Level Architecture</w:t>
      </w:r>
    </w:p>
    <w:p>
      <w:pPr>
        <w:pStyle w:val="SourceCode"/>
      </w:pP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| Authentication Server     |</w:t>
      </w:r>
      <w:r>
        <w:br/>
      </w:r>
      <w:r>
        <w:rPr>
          <w:rStyle w:val="VerbatimChar"/>
        </w:rPr>
        <w:t xml:space="preserve">| (Flask Backend)           |</w:t>
      </w:r>
      <w:r>
        <w:br/>
      </w:r>
      <w:r>
        <w:rPr>
          <w:rStyle w:val="VerbatimChar"/>
        </w:rPr>
        <w:t xml:space="preserve">+------------+--------------+</w:t>
      </w:r>
      <w:r>
        <w:br/>
      </w:r>
      <w:r>
        <w:rPr>
          <w:rStyle w:val="VerbatimChar"/>
        </w:rPr>
        <w:t xml:space="preserve">             ^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| Challenge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+------------+--------------+</w:t>
      </w:r>
      <w:r>
        <w:br/>
      </w:r>
      <w:r>
        <w:rPr>
          <w:rStyle w:val="VerbatimChar"/>
        </w:rPr>
        <w:t xml:space="preserve">| Client Device             |</w:t>
      </w:r>
      <w:r>
        <w:br/>
      </w:r>
      <w:r>
        <w:rPr>
          <w:rStyle w:val="VerbatimChar"/>
        </w:rPr>
        <w:t xml:space="preserve">| Windows 11 + TPM 2.0      |</w:t>
      </w:r>
      <w:r>
        <w:br/>
      </w:r>
      <w:r>
        <w:rPr>
          <w:rStyle w:val="VerbatimChar"/>
        </w:rPr>
        <w:t xml:space="preserve">+------------+--------------+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| Microsoft Platform        |</w:t>
      </w:r>
      <w:r>
        <w:br/>
      </w:r>
      <w:r>
        <w:rPr>
          <w:rStyle w:val="VerbatimChar"/>
        </w:rPr>
        <w:t xml:space="preserve">| Crypto Provider (PCP)     |</w:t>
      </w:r>
      <w:r>
        <w:br/>
      </w:r>
      <w:r>
        <w:rPr>
          <w:rStyle w:val="VerbatimChar"/>
        </w:rPr>
        <w:t xml:space="preserve">+------------+--------------+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| TPM 2.0 Hardware Module   |</w:t>
      </w:r>
      <w:r>
        <w:br/>
      </w:r>
      <w:r>
        <w:rPr>
          <w:rStyle w:val="VerbatimChar"/>
        </w:rPr>
        <w:t xml:space="preserve">+---------------------------+</w:t>
      </w:r>
    </w:p>
    <w:p>
      <w:pPr>
        <w:pStyle w:val="FirstParagraph"/>
      </w:pPr>
      <w:r>
        <w:t xml:space="preserve">The TPM protects the private key while the authentication server validates signatures generated using TPM-protected credentials.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tpm-based-key-lifecycle"/>
    <w:p>
      <w:pPr>
        <w:pStyle w:val="Heading1"/>
      </w:pPr>
      <w:r>
        <w:t xml:space="preserve">4. TPM-Based Key Lifecycle</w:t>
      </w:r>
    </w:p>
    <w:bookmarkStart w:id="28" w:name="key-generation"/>
    <w:p>
      <w:pPr>
        <w:pStyle w:val="Heading2"/>
      </w:pPr>
      <w:r>
        <w:t xml:space="preserve">4.1 Key Generation</w:t>
      </w:r>
    </w:p>
    <w:p>
      <w:pPr>
        <w:pStyle w:val="FirstParagraph"/>
      </w:pPr>
      <w:r>
        <w:t xml:space="preserve">A TPM-backed RSA key pair is generated using:</w:t>
      </w:r>
    </w:p>
    <w:p>
      <w:pPr>
        <w:pStyle w:val="Compact"/>
        <w:numPr>
          <w:ilvl w:val="0"/>
          <w:numId w:val="1003"/>
        </w:numPr>
      </w:pPr>
      <w:r>
        <w:t xml:space="preserve">Microsoft Platform Crypto Provider</w:t>
      </w:r>
    </w:p>
    <w:p>
      <w:pPr>
        <w:pStyle w:val="Compact"/>
        <w:numPr>
          <w:ilvl w:val="0"/>
          <w:numId w:val="1003"/>
        </w:numPr>
      </w:pPr>
      <w:r>
        <w:t xml:space="preserve">Windows Cryptography API (CNG)</w:t>
      </w:r>
    </w:p>
    <w:p>
      <w:pPr>
        <w:pStyle w:val="Compact"/>
        <w:numPr>
          <w:ilvl w:val="0"/>
          <w:numId w:val="1003"/>
        </w:numPr>
      </w:pPr>
      <w:r>
        <w:t xml:space="preserve">TPM 2.0 Hardware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04"/>
        </w:numPr>
      </w:pPr>
      <w:r>
        <w:t xml:space="preserve">Key generated inside TPM-backed provider</w:t>
      </w:r>
    </w:p>
    <w:p>
      <w:pPr>
        <w:pStyle w:val="Compact"/>
        <w:numPr>
          <w:ilvl w:val="0"/>
          <w:numId w:val="1004"/>
        </w:numPr>
      </w:pPr>
      <w:r>
        <w:t xml:space="preserve">Private key marked non-exportable</w:t>
      </w:r>
    </w:p>
    <w:p>
      <w:pPr>
        <w:pStyle w:val="Compact"/>
        <w:numPr>
          <w:ilvl w:val="0"/>
          <w:numId w:val="1004"/>
        </w:numPr>
      </w:pPr>
      <w:r>
        <w:t xml:space="preserve">Public key available for registration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Private Key  → TPM Protected</w:t>
      </w:r>
      <w:r>
        <w:br/>
      </w:r>
      <w:r>
        <w:rPr>
          <w:rStyle w:val="VerbatimChar"/>
        </w:rPr>
        <w:t xml:space="preserve">Public Key   → Exportable</w:t>
      </w:r>
    </w:p>
    <w:p>
      <w:r>
        <w:pict>
          <v:rect style="width:0;height:1.5pt" o:hralign="center" o:hrstd="t" o:hr="t"/>
        </w:pict>
      </w:r>
    </w:p>
    <w:bookmarkEnd w:id="28"/>
    <w:bookmarkStart w:id="29" w:name="key-storage"/>
    <w:p>
      <w:pPr>
        <w:pStyle w:val="Heading2"/>
      </w:pPr>
      <w:r>
        <w:t xml:space="preserve">4.2 Key Storage</w:t>
      </w:r>
    </w:p>
    <w:p>
      <w:pPr>
        <w:pStyle w:val="FirstParagraph"/>
      </w:pPr>
      <w:r>
        <w:t xml:space="preserve">The generated key is stored by:</w:t>
      </w:r>
    </w:p>
    <w:p>
      <w:pPr>
        <w:pStyle w:val="SourceCode"/>
      </w:pPr>
      <w:r>
        <w:rPr>
          <w:rStyle w:val="VerbatimChar"/>
        </w:rPr>
        <w:t xml:space="preserve">Microsoft Platform Crypto Provider</w:t>
      </w:r>
    </w:p>
    <w:p>
      <w:pPr>
        <w:pStyle w:val="FirstParagraph"/>
      </w:pPr>
      <w:r>
        <w:t xml:space="preserve">Key properties:</w:t>
      </w:r>
    </w:p>
    <w:p>
      <w:pPr>
        <w:pStyle w:val="Compact"/>
        <w:numPr>
          <w:ilvl w:val="0"/>
          <w:numId w:val="1005"/>
        </w:numPr>
      </w:pPr>
      <w:r>
        <w:t xml:space="preserve">Private key never exported</w:t>
      </w:r>
    </w:p>
    <w:p>
      <w:pPr>
        <w:pStyle w:val="Compact"/>
        <w:numPr>
          <w:ilvl w:val="0"/>
          <w:numId w:val="1005"/>
        </w:numPr>
      </w:pPr>
      <w:r>
        <w:t xml:space="preserve">Private key cannot be copied</w:t>
      </w:r>
    </w:p>
    <w:p>
      <w:pPr>
        <w:pStyle w:val="Compact"/>
        <w:numPr>
          <w:ilvl w:val="0"/>
          <w:numId w:val="1005"/>
        </w:numPr>
      </w:pPr>
      <w:r>
        <w:t xml:space="preserve">Private key protected by TPM hardware</w:t>
      </w:r>
    </w:p>
    <w:p>
      <w:pPr>
        <w:pStyle w:val="Compact"/>
        <w:numPr>
          <w:ilvl w:val="0"/>
          <w:numId w:val="1005"/>
        </w:numPr>
      </w:pPr>
      <w:r>
        <w:t xml:space="preserve">Applications can only request cryptographic operations</w:t>
      </w:r>
    </w:p>
    <w:p>
      <w:pPr>
        <w:pStyle w:val="FirstParagraph"/>
      </w:pPr>
      <w:r>
        <w:t xml:space="preserve">Verified Result:</w:t>
      </w:r>
    </w:p>
    <w:p>
      <w:pPr>
        <w:pStyle w:val="SourceCode"/>
      </w:pPr>
      <w:r>
        <w:rPr>
          <w:rStyle w:val="VerbatimChar"/>
        </w:rPr>
        <w:t xml:space="preserve">Private key is NOT exportable</w:t>
      </w:r>
    </w:p>
    <w:p>
      <w:r>
        <w:pict>
          <v:rect style="width:0;height:1.5pt" o:hralign="center" o:hrstd="t" o:hr="t"/>
        </w:pict>
      </w:r>
    </w:p>
    <w:bookmarkEnd w:id="29"/>
    <w:bookmarkStart w:id="30" w:name="key-usage"/>
    <w:p>
      <w:pPr>
        <w:pStyle w:val="Heading2"/>
      </w:pPr>
      <w:r>
        <w:t xml:space="preserve">4.3 Key Usage</w:t>
      </w:r>
    </w:p>
    <w:p>
      <w:pPr>
        <w:pStyle w:val="FirstParagraph"/>
      </w:pPr>
      <w:r>
        <w:t xml:space="preserve">The TPM private key is used only for:</w:t>
      </w:r>
    </w:p>
    <w:p>
      <w:pPr>
        <w:pStyle w:val="Compact"/>
        <w:numPr>
          <w:ilvl w:val="0"/>
          <w:numId w:val="1006"/>
        </w:numPr>
      </w:pPr>
      <w:r>
        <w:t xml:space="preserve">Digital signatures</w:t>
      </w:r>
    </w:p>
    <w:p>
      <w:pPr>
        <w:pStyle w:val="Compact"/>
        <w:numPr>
          <w:ilvl w:val="0"/>
          <w:numId w:val="1006"/>
        </w:numPr>
      </w:pPr>
      <w:r>
        <w:t xml:space="preserve">Authentication operations</w:t>
      </w:r>
    </w:p>
    <w:p>
      <w:pPr>
        <w:pStyle w:val="Compact"/>
        <w:numPr>
          <w:ilvl w:val="0"/>
          <w:numId w:val="1006"/>
        </w:numPr>
      </w:pPr>
      <w:r>
        <w:t xml:space="preserve">Cryptographic verification</w:t>
      </w:r>
    </w:p>
    <w:p>
      <w:pPr>
        <w:pStyle w:val="FirstParagraph"/>
      </w:pPr>
      <w:r>
        <w:t xml:space="preserve">Applications never directly access the private key.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device-registration-workflow"/>
    <w:p>
      <w:pPr>
        <w:pStyle w:val="Heading1"/>
      </w:pPr>
      <w:r>
        <w:t xml:space="preserve">5. Device Registration Workflow</w:t>
      </w:r>
    </w:p>
    <w:p>
      <w:pPr>
        <w:pStyle w:val="FirstParagraph"/>
      </w:pPr>
      <w:r>
        <w:t xml:space="preserve">The registration process establishes trust between the device and authentication server.</w:t>
      </w:r>
    </w:p>
    <w:bookmarkStart w:id="32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TPM-backed certificate is generated.</w:t>
      </w:r>
    </w:p>
    <w:bookmarkEnd w:id="32"/>
    <w:bookmarkStart w:id="33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Public key is extracted from TPM certificate.</w:t>
      </w:r>
    </w:p>
    <w:bookmarkEnd w:id="33"/>
    <w:bookmarkStart w:id="34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Device registers with server.</w:t>
      </w:r>
    </w:p>
    <w:p>
      <w:pPr>
        <w:pStyle w:val="BodyText"/>
      </w:pPr>
      <w:r>
        <w:t xml:space="preserve">Registration Data: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"sandhya123-tpm"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"&lt;TPM Public Key&gt;"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Server stores:</w:t>
      </w:r>
    </w:p>
    <w:p>
      <w:pPr>
        <w:pStyle w:val="Compact"/>
        <w:numPr>
          <w:ilvl w:val="0"/>
          <w:numId w:val="1007"/>
        </w:numPr>
      </w:pPr>
      <w:r>
        <w:t xml:space="preserve">Device ID</w:t>
      </w:r>
    </w:p>
    <w:p>
      <w:pPr>
        <w:pStyle w:val="Compact"/>
        <w:numPr>
          <w:ilvl w:val="0"/>
          <w:numId w:val="1007"/>
        </w:numPr>
      </w:pPr>
      <w:r>
        <w:t xml:space="preserve">TPM public key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Device Registered Successfully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authentication-workflow"/>
    <w:p>
      <w:pPr>
        <w:pStyle w:val="Heading1"/>
      </w:pPr>
      <w:r>
        <w:t xml:space="preserve">6. Authentication Workflow</w:t>
      </w:r>
    </w:p>
    <w:p>
      <w:pPr>
        <w:pStyle w:val="FirstParagraph"/>
      </w:pPr>
      <w:r>
        <w:t xml:space="preserve">The project implements Challenge-Response Authentication.</w:t>
      </w:r>
    </w:p>
    <w:bookmarkStart w:id="37" w:name="step-1-challenge-request"/>
    <w:p>
      <w:pPr>
        <w:pStyle w:val="Heading2"/>
      </w:pPr>
      <w:r>
        <w:t xml:space="preserve">Step 1 – Challenge Request</w:t>
      </w:r>
    </w:p>
    <w:p>
      <w:pPr>
        <w:pStyle w:val="FirstParagraph"/>
      </w:pPr>
      <w:r>
        <w:t xml:space="preserve">Client sends: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"sandhya123-tpm"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Server generates a random challenge.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bf689f3cb09d1e6af19ec65c6e7207559638f6aa8e6d783448c7eae3b13645b7</w:t>
      </w:r>
    </w:p>
    <w:p>
      <w:r>
        <w:pict>
          <v:rect style="width:0;height:1.5pt" o:hralign="center" o:hrstd="t" o:hr="t"/>
        </w:pict>
      </w:r>
    </w:p>
    <w:bookmarkEnd w:id="37"/>
    <w:bookmarkStart w:id="38" w:name="step-2-tpm-signing"/>
    <w:p>
      <w:pPr>
        <w:pStyle w:val="Heading2"/>
      </w:pPr>
      <w:r>
        <w:t xml:space="preserve">Step 2 – TPM Signing</w:t>
      </w:r>
    </w:p>
    <w:p>
      <w:pPr>
        <w:pStyle w:val="FirstParagraph"/>
      </w:pPr>
      <w:r>
        <w:t xml:space="preserve">Challenge is sent to TPM signer.</w:t>
      </w:r>
    </w:p>
    <w:p>
      <w:pPr>
        <w:pStyle w:val="BodyText"/>
      </w:pPr>
      <w:r>
        <w:t xml:space="preserve">Process:</w:t>
      </w:r>
    </w:p>
    <w:p>
      <w:pPr>
        <w:pStyle w:val="SourceCode"/>
      </w:pPr>
      <w:r>
        <w:rPr>
          <w:rStyle w:val="VerbatimChar"/>
        </w:rPr>
        <w:t xml:space="preserve">Challenge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Windows CNG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Microsoft Platform Crypto Provider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TPM Private Key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Digital Signature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Base64 Encoded Signature</w:t>
      </w:r>
    </w:p>
    <w:p>
      <w:r>
        <w:pict>
          <v:rect style="width:0;height:1.5pt" o:hralign="center" o:hrstd="t" o:hr="t"/>
        </w:pict>
      </w:r>
    </w:p>
    <w:bookmarkEnd w:id="38"/>
    <w:bookmarkStart w:id="39" w:name="step-3-verification"/>
    <w:p>
      <w:pPr>
        <w:pStyle w:val="Heading2"/>
      </w:pPr>
      <w:r>
        <w:t xml:space="preserve">Step 3 – Verification</w:t>
      </w:r>
    </w:p>
    <w:p>
      <w:pPr>
        <w:pStyle w:val="FirstParagraph"/>
      </w:pPr>
      <w:r>
        <w:t xml:space="preserve">Server performs:</w:t>
      </w:r>
    </w:p>
    <w:p>
      <w:pPr>
        <w:pStyle w:val="SourceCode"/>
      </w:pPr>
      <w:r>
        <w:rPr>
          <w:rStyle w:val="VerbatimChar"/>
        </w:rPr>
        <w:t xml:space="preserve">Public Key Verification</w:t>
      </w:r>
    </w:p>
    <w:p>
      <w:pPr>
        <w:pStyle w:val="FirstParagraph"/>
      </w:pPr>
      <w:r>
        <w:t xml:space="preserve">using the registered TPM public key.</w:t>
      </w:r>
    </w:p>
    <w:p>
      <w:pPr>
        <w:pStyle w:val="BodyText"/>
      </w:pPr>
      <w:r>
        <w:t xml:space="preserve">Verification Algorithm:</w:t>
      </w:r>
    </w:p>
    <w:p>
      <w:pPr>
        <w:pStyle w:val="Compact"/>
        <w:numPr>
          <w:ilvl w:val="0"/>
          <w:numId w:val="1008"/>
        </w:numPr>
      </w:pPr>
      <w:r>
        <w:t xml:space="preserve">RSA</w:t>
      </w:r>
    </w:p>
    <w:p>
      <w:pPr>
        <w:pStyle w:val="Compact"/>
        <w:numPr>
          <w:ilvl w:val="0"/>
          <w:numId w:val="1008"/>
        </w:numPr>
      </w:pPr>
      <w:r>
        <w:t xml:space="preserve">PKCS#1 v1.5 Padding</w:t>
      </w:r>
    </w:p>
    <w:p>
      <w:pPr>
        <w:pStyle w:val="Compact"/>
        <w:numPr>
          <w:ilvl w:val="0"/>
          <w:numId w:val="1008"/>
        </w:numPr>
      </w:pPr>
      <w:r>
        <w:t xml:space="preserve">SHA-256</w:t>
      </w:r>
    </w:p>
    <w:p>
      <w:r>
        <w:pict>
          <v:rect style="width:0;height:1.5pt" o:hralign="center" o:hrstd="t" o:hr="t"/>
        </w:pict>
      </w:r>
    </w:p>
    <w:bookmarkEnd w:id="39"/>
    <w:bookmarkStart w:id="40" w:name="step-4-authentication-decision"/>
    <w:p>
      <w:pPr>
        <w:pStyle w:val="Heading2"/>
      </w:pPr>
      <w:r>
        <w:t xml:space="preserve">Step 4 – Authentication Decision</w:t>
      </w:r>
    </w:p>
    <w:p>
      <w:pPr>
        <w:pStyle w:val="FirstParagraph"/>
      </w:pPr>
      <w:r>
        <w:t xml:space="preserve">If verification succeeds: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"authenticated"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Device Authenticated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security-analysis"/>
    <w:p>
      <w:pPr>
        <w:pStyle w:val="Heading1"/>
      </w:pPr>
      <w:r>
        <w:t xml:space="preserve">7. Security Analysis</w:t>
      </w:r>
    </w:p>
    <w:bookmarkStart w:id="42" w:name="traditional-software-based-key-storage"/>
    <w:p>
      <w:pPr>
        <w:pStyle w:val="Heading2"/>
      </w:pPr>
      <w:r>
        <w:t xml:space="preserve">7.1 Traditional Software-Based Key Storage</w:t>
      </w:r>
    </w:p>
    <w:p>
      <w:pPr>
        <w:pStyle w:val="SourceCode"/>
      </w:pPr>
      <w:r>
        <w:rPr>
          <w:rStyle w:val="VerbatimChar"/>
        </w:rPr>
        <w:t xml:space="preserve">private.pem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Stored on Disk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Can be Copied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Can be Stolen</w:t>
      </w:r>
    </w:p>
    <w:p>
      <w:pPr>
        <w:pStyle w:val="FirstParagraph"/>
      </w:pPr>
      <w:r>
        <w:t xml:space="preserve">Risks:</w:t>
      </w:r>
    </w:p>
    <w:p>
      <w:pPr>
        <w:pStyle w:val="Compact"/>
        <w:numPr>
          <w:ilvl w:val="0"/>
          <w:numId w:val="1009"/>
        </w:numPr>
      </w:pPr>
      <w:r>
        <w:t xml:space="preserve">Malware</w:t>
      </w:r>
    </w:p>
    <w:p>
      <w:pPr>
        <w:pStyle w:val="Compact"/>
        <w:numPr>
          <w:ilvl w:val="0"/>
          <w:numId w:val="1009"/>
        </w:numPr>
      </w:pPr>
      <w:r>
        <w:t xml:space="preserve">Insider attacks</w:t>
      </w:r>
    </w:p>
    <w:p>
      <w:pPr>
        <w:pStyle w:val="Compact"/>
        <w:numPr>
          <w:ilvl w:val="0"/>
          <w:numId w:val="1009"/>
        </w:numPr>
      </w:pPr>
      <w:r>
        <w:t xml:space="preserve">File theft</w:t>
      </w:r>
    </w:p>
    <w:p>
      <w:pPr>
        <w:pStyle w:val="Compact"/>
        <w:numPr>
          <w:ilvl w:val="0"/>
          <w:numId w:val="1009"/>
        </w:numPr>
      </w:pPr>
      <w:r>
        <w:t xml:space="preserve">Credential leakage</w:t>
      </w:r>
    </w:p>
    <w:p>
      <w:r>
        <w:pict>
          <v:rect style="width:0;height:1.5pt" o:hralign="center" o:hrstd="t" o:hr="t"/>
        </w:pict>
      </w:r>
    </w:p>
    <w:bookmarkEnd w:id="42"/>
    <w:bookmarkStart w:id="43" w:name="tpm-protected-key-storage"/>
    <w:p>
      <w:pPr>
        <w:pStyle w:val="Heading2"/>
      </w:pPr>
      <w:r>
        <w:t xml:space="preserve">7.2 TPM-Protected Key Storage</w:t>
      </w:r>
    </w:p>
    <w:p>
      <w:pPr>
        <w:pStyle w:val="SourceCode"/>
      </w:pPr>
      <w:r>
        <w:rPr>
          <w:rStyle w:val="VerbatimChar"/>
        </w:rPr>
        <w:t xml:space="preserve">TPM Private Key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Non-Exportable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Hardware Protected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Cannot be Copied</w:t>
      </w:r>
    </w:p>
    <w:p>
      <w:pPr>
        <w:pStyle w:val="FirstParagraph"/>
      </w:pPr>
      <w:r>
        <w:t xml:space="preserve">Advantages:</w:t>
      </w:r>
    </w:p>
    <w:p>
      <w:pPr>
        <w:pStyle w:val="Compact"/>
        <w:numPr>
          <w:ilvl w:val="0"/>
          <w:numId w:val="1010"/>
        </w:numPr>
      </w:pPr>
      <w:r>
        <w:t xml:space="preserve">Stronger key protection</w:t>
      </w:r>
    </w:p>
    <w:p>
      <w:pPr>
        <w:pStyle w:val="Compact"/>
        <w:numPr>
          <w:ilvl w:val="0"/>
          <w:numId w:val="1010"/>
        </w:numPr>
      </w:pPr>
      <w:r>
        <w:t xml:space="preserve">Hardware-backed security</w:t>
      </w:r>
    </w:p>
    <w:p>
      <w:pPr>
        <w:pStyle w:val="Compact"/>
        <w:numPr>
          <w:ilvl w:val="0"/>
          <w:numId w:val="1010"/>
        </w:numPr>
      </w:pPr>
      <w:r>
        <w:t xml:space="preserve">Reduced attack surface</w:t>
      </w:r>
    </w:p>
    <w:p>
      <w:pPr>
        <w:pStyle w:val="Compact"/>
        <w:numPr>
          <w:ilvl w:val="0"/>
          <w:numId w:val="1010"/>
        </w:numPr>
      </w:pPr>
      <w:r>
        <w:t xml:space="preserve">Better resistance against malware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implementation-components"/>
    <w:p>
      <w:pPr>
        <w:pStyle w:val="Heading1"/>
      </w:pPr>
      <w:r>
        <w:t xml:space="preserve">8. Implementation Components</w:t>
      </w:r>
    </w:p>
    <w:bookmarkStart w:id="45" w:name="client-side"/>
    <w:p>
      <w:pPr>
        <w:pStyle w:val="Heading2"/>
      </w:pPr>
      <w:r>
        <w:t xml:space="preserve">Client Side</w:t>
      </w:r>
    </w:p>
    <w:p>
      <w:pPr>
        <w:pStyle w:val="FirstParagraph"/>
      </w:pPr>
      <w:r>
        <w:t xml:space="preserve">Technologies:</w:t>
      </w:r>
    </w:p>
    <w:p>
      <w:pPr>
        <w:pStyle w:val="Compact"/>
        <w:numPr>
          <w:ilvl w:val="0"/>
          <w:numId w:val="1011"/>
        </w:numPr>
      </w:pPr>
      <w:r>
        <w:t xml:space="preserve">Python</w:t>
      </w:r>
    </w:p>
    <w:p>
      <w:pPr>
        <w:pStyle w:val="Compact"/>
        <w:numPr>
          <w:ilvl w:val="0"/>
          <w:numId w:val="1011"/>
        </w:numPr>
      </w:pPr>
      <w:r>
        <w:t xml:space="preserve">Requests Library</w:t>
      </w:r>
    </w:p>
    <w:p>
      <w:pPr>
        <w:pStyle w:val="Compact"/>
        <w:numPr>
          <w:ilvl w:val="0"/>
          <w:numId w:val="1011"/>
        </w:numPr>
      </w:pPr>
      <w:r>
        <w:t xml:space="preserve">TPM Sign Wrapper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2"/>
        </w:numPr>
      </w:pPr>
      <w:r>
        <w:t xml:space="preserve">Device registration</w:t>
      </w:r>
    </w:p>
    <w:p>
      <w:pPr>
        <w:pStyle w:val="Compact"/>
        <w:numPr>
          <w:ilvl w:val="0"/>
          <w:numId w:val="1012"/>
        </w:numPr>
      </w:pPr>
      <w:r>
        <w:t xml:space="preserve">Challenge retrieval</w:t>
      </w:r>
    </w:p>
    <w:p>
      <w:pPr>
        <w:pStyle w:val="Compact"/>
        <w:numPr>
          <w:ilvl w:val="0"/>
          <w:numId w:val="1012"/>
        </w:numPr>
      </w:pPr>
      <w:r>
        <w:t xml:space="preserve">TPM signing</w:t>
      </w:r>
    </w:p>
    <w:p>
      <w:pPr>
        <w:pStyle w:val="Compact"/>
        <w:numPr>
          <w:ilvl w:val="0"/>
          <w:numId w:val="1012"/>
        </w:numPr>
      </w:pPr>
      <w:r>
        <w:t xml:space="preserve">Authentication requests</w:t>
      </w:r>
    </w:p>
    <w:p>
      <w:r>
        <w:pict>
          <v:rect style="width:0;height:1.5pt" o:hralign="center" o:hrstd="t" o:hr="t"/>
        </w:pict>
      </w:r>
    </w:p>
    <w:bookmarkEnd w:id="45"/>
    <w:bookmarkStart w:id="46" w:name="tpm-signer"/>
    <w:p>
      <w:pPr>
        <w:pStyle w:val="Heading2"/>
      </w:pPr>
      <w:r>
        <w:t xml:space="preserve">TPM Signer</w:t>
      </w:r>
    </w:p>
    <w:p>
      <w:pPr>
        <w:pStyle w:val="FirstParagraph"/>
      </w:pPr>
      <w:r>
        <w:t xml:space="preserve">Technologies:</w:t>
      </w:r>
    </w:p>
    <w:p>
      <w:pPr>
        <w:pStyle w:val="Compact"/>
        <w:numPr>
          <w:ilvl w:val="0"/>
          <w:numId w:val="1013"/>
        </w:numPr>
      </w:pPr>
      <w:r>
        <w:t xml:space="preserve">C#</w:t>
      </w:r>
    </w:p>
    <w:p>
      <w:pPr>
        <w:pStyle w:val="Compact"/>
        <w:numPr>
          <w:ilvl w:val="0"/>
          <w:numId w:val="1013"/>
        </w:numPr>
      </w:pPr>
      <w:r>
        <w:t xml:space="preserve">.NET 8</w:t>
      </w:r>
    </w:p>
    <w:p>
      <w:pPr>
        <w:pStyle w:val="Compact"/>
        <w:numPr>
          <w:ilvl w:val="0"/>
          <w:numId w:val="1013"/>
        </w:numPr>
      </w:pPr>
      <w:r>
        <w:t xml:space="preserve">Windows CNG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4"/>
        </w:numPr>
      </w:pPr>
      <w:r>
        <w:t xml:space="preserve">Access TPM-backed certificate</w:t>
      </w:r>
    </w:p>
    <w:p>
      <w:pPr>
        <w:pStyle w:val="Compact"/>
        <w:numPr>
          <w:ilvl w:val="0"/>
          <w:numId w:val="1014"/>
        </w:numPr>
      </w:pPr>
      <w:r>
        <w:t xml:space="preserve">Perform TPM signing</w:t>
      </w:r>
    </w:p>
    <w:p>
      <w:pPr>
        <w:pStyle w:val="Compact"/>
        <w:numPr>
          <w:ilvl w:val="0"/>
          <w:numId w:val="1014"/>
        </w:numPr>
      </w:pPr>
      <w:r>
        <w:t xml:space="preserve">Return Base64 signature</w:t>
      </w:r>
    </w:p>
    <w:p>
      <w:r>
        <w:pict>
          <v:rect style="width:0;height:1.5pt" o:hralign="center" o:hrstd="t" o:hr="t"/>
        </w:pict>
      </w:r>
    </w:p>
    <w:bookmarkEnd w:id="46"/>
    <w:bookmarkStart w:id="47" w:name="server-side"/>
    <w:p>
      <w:pPr>
        <w:pStyle w:val="Heading2"/>
      </w:pPr>
      <w:r>
        <w:t xml:space="preserve">Server Side</w:t>
      </w:r>
    </w:p>
    <w:p>
      <w:pPr>
        <w:pStyle w:val="FirstParagraph"/>
      </w:pPr>
      <w:r>
        <w:t xml:space="preserve">Technologies:</w:t>
      </w:r>
    </w:p>
    <w:p>
      <w:pPr>
        <w:pStyle w:val="Compact"/>
        <w:numPr>
          <w:ilvl w:val="0"/>
          <w:numId w:val="1015"/>
        </w:numPr>
      </w:pPr>
      <w:r>
        <w:t xml:space="preserve">Flask</w:t>
      </w:r>
    </w:p>
    <w:p>
      <w:pPr>
        <w:pStyle w:val="Compact"/>
        <w:numPr>
          <w:ilvl w:val="0"/>
          <w:numId w:val="1015"/>
        </w:numPr>
      </w:pPr>
      <w:r>
        <w:t xml:space="preserve">SQLAlchemy</w:t>
      </w:r>
    </w:p>
    <w:p>
      <w:pPr>
        <w:pStyle w:val="Compact"/>
        <w:numPr>
          <w:ilvl w:val="0"/>
          <w:numId w:val="1015"/>
        </w:numPr>
      </w:pPr>
      <w:r>
        <w:t xml:space="preserve">SQLite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6"/>
        </w:numPr>
      </w:pPr>
      <w:r>
        <w:t xml:space="preserve">Device registration</w:t>
      </w:r>
    </w:p>
    <w:p>
      <w:pPr>
        <w:pStyle w:val="Compact"/>
        <w:numPr>
          <w:ilvl w:val="0"/>
          <w:numId w:val="1016"/>
        </w:numPr>
      </w:pPr>
      <w:r>
        <w:t xml:space="preserve">Challenge generation</w:t>
      </w:r>
    </w:p>
    <w:p>
      <w:pPr>
        <w:pStyle w:val="Compact"/>
        <w:numPr>
          <w:ilvl w:val="0"/>
          <w:numId w:val="1016"/>
        </w:numPr>
      </w:pPr>
      <w:r>
        <w:t xml:space="preserve">Signature verification</w:t>
      </w:r>
    </w:p>
    <w:p>
      <w:pPr>
        <w:pStyle w:val="Compact"/>
        <w:numPr>
          <w:ilvl w:val="0"/>
          <w:numId w:val="1016"/>
        </w:numPr>
      </w:pPr>
      <w:r>
        <w:t xml:space="preserve">Authentication decisions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windows-tpm-integration-rationale"/>
    <w:p>
      <w:pPr>
        <w:pStyle w:val="Heading1"/>
      </w:pPr>
      <w:r>
        <w:t xml:space="preserve">9. Windows TPM Integration Rationale</w:t>
      </w:r>
    </w:p>
    <w:p>
      <w:pPr>
        <w:pStyle w:val="FirstParagraph"/>
      </w:pPr>
      <w:r>
        <w:t xml:space="preserve">Two TPM approaches were evaluated:</w:t>
      </w:r>
    </w:p>
    <w:bookmarkStart w:id="49" w:name="approach-a"/>
    <w:p>
      <w:pPr>
        <w:pStyle w:val="Heading2"/>
      </w:pPr>
      <w:r>
        <w:t xml:space="preserve">Approach A</w:t>
      </w:r>
    </w:p>
    <w:p>
      <w:pPr>
        <w:pStyle w:val="FirstParagraph"/>
      </w:pPr>
      <w:r>
        <w:t xml:space="preserve">TPM Software Stack (TPM2-TSS)</w:t>
      </w:r>
    </w:p>
    <w:p>
      <w:pPr>
        <w:pStyle w:val="BodyText"/>
      </w:pPr>
      <w:r>
        <w:t xml:space="preserve">Advantages:</w:t>
      </w:r>
    </w:p>
    <w:p>
      <w:pPr>
        <w:pStyle w:val="Compact"/>
        <w:numPr>
          <w:ilvl w:val="0"/>
          <w:numId w:val="1017"/>
        </w:numPr>
      </w:pPr>
      <w:r>
        <w:t xml:space="preserve">Direct TPM command access</w:t>
      </w:r>
    </w:p>
    <w:p>
      <w:pPr>
        <w:pStyle w:val="Compact"/>
        <w:numPr>
          <w:ilvl w:val="0"/>
          <w:numId w:val="1017"/>
        </w:numPr>
      </w:pPr>
      <w:r>
        <w:t xml:space="preserve">PCR operations</w:t>
      </w:r>
    </w:p>
    <w:p>
      <w:pPr>
        <w:pStyle w:val="Compact"/>
        <w:numPr>
          <w:ilvl w:val="0"/>
          <w:numId w:val="1017"/>
        </w:numPr>
      </w:pPr>
      <w:r>
        <w:t xml:space="preserve">TPM Quotes</w:t>
      </w:r>
    </w:p>
    <w:p>
      <w:pPr>
        <w:pStyle w:val="Compact"/>
        <w:numPr>
          <w:ilvl w:val="0"/>
          <w:numId w:val="1017"/>
        </w:numPr>
      </w:pPr>
      <w:r>
        <w:t xml:space="preserve">Remote attestation</w:t>
      </w:r>
    </w:p>
    <w:p>
      <w:pPr>
        <w:pStyle w:val="Compact"/>
        <w:numPr>
          <w:ilvl w:val="0"/>
          <w:numId w:val="1017"/>
        </w:numPr>
      </w:pPr>
      <w:r>
        <w:t xml:space="preserve">TPM research flexibility</w:t>
      </w:r>
    </w:p>
    <w:p>
      <w:pPr>
        <w:pStyle w:val="FirstParagraph"/>
      </w:pPr>
      <w:r>
        <w:t xml:space="preserve">Disadvantages:</w:t>
      </w:r>
    </w:p>
    <w:p>
      <w:pPr>
        <w:pStyle w:val="Compact"/>
        <w:numPr>
          <w:ilvl w:val="0"/>
          <w:numId w:val="1018"/>
        </w:numPr>
      </w:pPr>
      <w:r>
        <w:t xml:space="preserve">Complex deployment</w:t>
      </w:r>
    </w:p>
    <w:p>
      <w:pPr>
        <w:pStyle w:val="Compact"/>
        <w:numPr>
          <w:ilvl w:val="0"/>
          <w:numId w:val="1018"/>
        </w:numPr>
      </w:pPr>
      <w:r>
        <w:t xml:space="preserve">Additional dependencies</w:t>
      </w:r>
    </w:p>
    <w:p>
      <w:pPr>
        <w:pStyle w:val="Compact"/>
        <w:numPr>
          <w:ilvl w:val="0"/>
          <w:numId w:val="1018"/>
        </w:numPr>
      </w:pPr>
      <w:r>
        <w:t xml:space="preserve">Limited Windows integration</w:t>
      </w:r>
    </w:p>
    <w:p>
      <w:r>
        <w:pict>
          <v:rect style="width:0;height:1.5pt" o:hralign="center" o:hrstd="t" o:hr="t"/>
        </w:pict>
      </w:r>
    </w:p>
    <w:bookmarkEnd w:id="49"/>
    <w:bookmarkStart w:id="50" w:name="approach-b"/>
    <w:p>
      <w:pPr>
        <w:pStyle w:val="Heading2"/>
      </w:pPr>
      <w:r>
        <w:t xml:space="preserve">Approach B</w:t>
      </w:r>
    </w:p>
    <w:p>
      <w:pPr>
        <w:pStyle w:val="FirstParagraph"/>
      </w:pPr>
      <w:r>
        <w:t xml:space="preserve">Windows TPM Integration (Selected)</w:t>
      </w:r>
    </w:p>
    <w:p>
      <w:pPr>
        <w:pStyle w:val="BodyText"/>
      </w:pPr>
      <w:r>
        <w:t xml:space="preserve">Components:</w:t>
      </w:r>
    </w:p>
    <w:p>
      <w:pPr>
        <w:pStyle w:val="Compact"/>
        <w:numPr>
          <w:ilvl w:val="0"/>
          <w:numId w:val="1019"/>
        </w:numPr>
      </w:pPr>
      <w:r>
        <w:t xml:space="preserve">Microsoft Platform Crypto Provider</w:t>
      </w:r>
    </w:p>
    <w:p>
      <w:pPr>
        <w:pStyle w:val="Compact"/>
        <w:numPr>
          <w:ilvl w:val="0"/>
          <w:numId w:val="1019"/>
        </w:numPr>
      </w:pPr>
      <w:r>
        <w:t xml:space="preserve">Windows CNG</w:t>
      </w:r>
    </w:p>
    <w:p>
      <w:pPr>
        <w:pStyle w:val="Compact"/>
        <w:numPr>
          <w:ilvl w:val="0"/>
          <w:numId w:val="1019"/>
        </w:numPr>
      </w:pPr>
      <w:r>
        <w:t xml:space="preserve">TPM 2.0</w:t>
      </w:r>
    </w:p>
    <w:p>
      <w:pPr>
        <w:pStyle w:val="FirstParagraph"/>
      </w:pPr>
      <w:r>
        <w:t xml:space="preserve">Advantages:</w:t>
      </w:r>
    </w:p>
    <w:p>
      <w:pPr>
        <w:pStyle w:val="Compact"/>
        <w:numPr>
          <w:ilvl w:val="0"/>
          <w:numId w:val="1020"/>
        </w:numPr>
      </w:pPr>
      <w:r>
        <w:t xml:space="preserve">Native Windows support</w:t>
      </w:r>
    </w:p>
    <w:p>
      <w:pPr>
        <w:pStyle w:val="Compact"/>
        <w:numPr>
          <w:ilvl w:val="0"/>
          <w:numId w:val="1020"/>
        </w:numPr>
      </w:pPr>
      <w:r>
        <w:t xml:space="preserve">Enterprise-ready</w:t>
      </w:r>
    </w:p>
    <w:p>
      <w:pPr>
        <w:pStyle w:val="Compact"/>
        <w:numPr>
          <w:ilvl w:val="0"/>
          <w:numId w:val="1020"/>
        </w:numPr>
      </w:pPr>
      <w:r>
        <w:t xml:space="preserve">Simplified deployment</w:t>
      </w:r>
    </w:p>
    <w:p>
      <w:pPr>
        <w:pStyle w:val="Compact"/>
        <w:numPr>
          <w:ilvl w:val="0"/>
          <w:numId w:val="1020"/>
        </w:numPr>
      </w:pPr>
      <w:r>
        <w:t xml:space="preserve">Automatic TPM management</w:t>
      </w:r>
    </w:p>
    <w:p>
      <w:pPr>
        <w:pStyle w:val="Compact"/>
        <w:numPr>
          <w:ilvl w:val="0"/>
          <w:numId w:val="1020"/>
        </w:numPr>
      </w:pPr>
      <w:r>
        <w:t xml:space="preserve">Hardware-backed security</w:t>
      </w:r>
    </w:p>
    <w:p>
      <w:pPr>
        <w:pStyle w:val="Compact"/>
        <w:numPr>
          <w:ilvl w:val="0"/>
          <w:numId w:val="1020"/>
        </w:numPr>
      </w:pPr>
      <w:r>
        <w:t xml:space="preserve">Scalable across large organizations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justification-for-selected-architecture"/>
    <w:p>
      <w:pPr>
        <w:pStyle w:val="Heading1"/>
      </w:pPr>
      <w:r>
        <w:t xml:space="preserve">10. Justification for Selected Architecture</w:t>
      </w:r>
    </w:p>
    <w:p>
      <w:pPr>
        <w:pStyle w:val="FirstParagraph"/>
      </w:pPr>
      <w:r>
        <w:t xml:space="preserve">Project objective:</w:t>
      </w:r>
    </w:p>
    <w:p>
      <w:pPr>
        <w:pStyle w:val="SourceCode"/>
      </w:pPr>
      <w:r>
        <w:rPr>
          <w:rStyle w:val="VerbatimChar"/>
        </w:rPr>
        <w:t xml:space="preserve">Secure Key Management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Device Authentication</w:t>
      </w:r>
    </w:p>
    <w:p>
      <w:pPr>
        <w:pStyle w:val="FirstParagraph"/>
      </w:pPr>
      <w:r>
        <w:t xml:space="preserve">Project objective is NOT:</w:t>
      </w:r>
    </w:p>
    <w:p>
      <w:pPr>
        <w:pStyle w:val="SourceCode"/>
      </w:pPr>
      <w:r>
        <w:rPr>
          <w:rStyle w:val="VerbatimChar"/>
        </w:rPr>
        <w:t xml:space="preserve">TPM Command Research</w:t>
      </w:r>
    </w:p>
    <w:p>
      <w:pPr>
        <w:pStyle w:val="FirstParagraph"/>
      </w:pPr>
      <w:r>
        <w:t xml:space="preserve">Therefore:</w:t>
      </w:r>
    </w:p>
    <w:p>
      <w:pPr>
        <w:pStyle w:val="BodyText"/>
      </w:pPr>
      <w:r>
        <w:t xml:space="preserve">Windows TPM Integration was selected because it provides:</w:t>
      </w:r>
    </w:p>
    <w:p>
      <w:pPr>
        <w:pStyle w:val="Compact"/>
        <w:numPr>
          <w:ilvl w:val="0"/>
          <w:numId w:val="1021"/>
        </w:numPr>
      </w:pPr>
      <w:r>
        <w:t xml:space="preserve">TPM-backed key generation</w:t>
      </w:r>
    </w:p>
    <w:p>
      <w:pPr>
        <w:pStyle w:val="Compact"/>
        <w:numPr>
          <w:ilvl w:val="0"/>
          <w:numId w:val="1021"/>
        </w:numPr>
      </w:pPr>
      <w:r>
        <w:t xml:space="preserve">TPM-backed key storage</w:t>
      </w:r>
    </w:p>
    <w:p>
      <w:pPr>
        <w:pStyle w:val="Compact"/>
        <w:numPr>
          <w:ilvl w:val="0"/>
          <w:numId w:val="1021"/>
        </w:numPr>
      </w:pPr>
      <w:r>
        <w:t xml:space="preserve">Non-exportable private keys</w:t>
      </w:r>
    </w:p>
    <w:p>
      <w:pPr>
        <w:pStyle w:val="Compact"/>
        <w:numPr>
          <w:ilvl w:val="0"/>
          <w:numId w:val="1021"/>
        </w:numPr>
      </w:pPr>
      <w:r>
        <w:t xml:space="preserve">Hardware root of trust</w:t>
      </w:r>
    </w:p>
    <w:p>
      <w:pPr>
        <w:pStyle w:val="Compact"/>
        <w:numPr>
          <w:ilvl w:val="0"/>
          <w:numId w:val="1021"/>
        </w:numPr>
      </w:pPr>
      <w:r>
        <w:t xml:space="preserve">Enterprise deployment readiness</w:t>
      </w:r>
    </w:p>
    <w:p>
      <w:pPr>
        <w:pStyle w:val="Compact"/>
        <w:numPr>
          <w:ilvl w:val="0"/>
          <w:numId w:val="1021"/>
        </w:numPr>
      </w:pPr>
      <w:r>
        <w:t xml:space="preserve">Native Windows compatibility</w:t>
      </w:r>
    </w:p>
    <w:p>
      <w:pPr>
        <w:pStyle w:val="FirstParagraph"/>
      </w:pPr>
      <w:r>
        <w:t xml:space="preserve">without requiring direct TPM command management.</w:t>
      </w:r>
    </w:p>
    <w:p>
      <w:r>
        <w:pict>
          <v:rect style="width:0;height:1.5pt" o:hralign="center" o:hrstd="t" o:hr="t"/>
        </w:pict>
      </w:r>
    </w:p>
    <w:bookmarkEnd w:id="52"/>
    <w:bookmarkStart w:id="53" w:name="experimental-results"/>
    <w:p>
      <w:pPr>
        <w:pStyle w:val="Heading1"/>
      </w:pPr>
      <w:r>
        <w:t xml:space="preserve">11. Experimental Results</w:t>
      </w:r>
    </w:p>
    <w:p>
      <w:pPr>
        <w:pStyle w:val="FirstParagraph"/>
      </w:pPr>
      <w:r>
        <w:t xml:space="preserve">Successfully Demonstrated:</w:t>
      </w:r>
    </w:p>
    <w:p>
      <w:pPr>
        <w:pStyle w:val="BodyText"/>
      </w:pPr>
      <w:r>
        <w:t xml:space="preserve">✓ TPM 2.0 Detection</w:t>
      </w:r>
    </w:p>
    <w:p>
      <w:pPr>
        <w:pStyle w:val="BodyText"/>
      </w:pPr>
      <w:r>
        <w:t xml:space="preserve">✓ TPM-backed Certificate Creation</w:t>
      </w:r>
    </w:p>
    <w:p>
      <w:pPr>
        <w:pStyle w:val="BodyText"/>
      </w:pPr>
      <w:r>
        <w:t xml:space="preserve">✓ Public Key Extraction</w:t>
      </w:r>
    </w:p>
    <w:p>
      <w:pPr>
        <w:pStyle w:val="BodyText"/>
      </w:pPr>
      <w:r>
        <w:t xml:space="preserve">✓ Non-exportable Private Key Verification</w:t>
      </w:r>
    </w:p>
    <w:p>
      <w:pPr>
        <w:pStyle w:val="BodyText"/>
      </w:pPr>
      <w:r>
        <w:t xml:space="preserve">✓ TPM-backed RSA Signing</w:t>
      </w:r>
    </w:p>
    <w:p>
      <w:pPr>
        <w:pStyle w:val="BodyText"/>
      </w:pPr>
      <w:r>
        <w:t xml:space="preserve">✓ Python–TPM Integration</w:t>
      </w:r>
    </w:p>
    <w:p>
      <w:pPr>
        <w:pStyle w:val="BodyText"/>
      </w:pPr>
      <w:r>
        <w:t xml:space="preserve">✓ Device Registration</w:t>
      </w:r>
    </w:p>
    <w:p>
      <w:pPr>
        <w:pStyle w:val="BodyText"/>
      </w:pPr>
      <w:r>
        <w:t xml:space="preserve">✓ Challenge Generation</w:t>
      </w:r>
    </w:p>
    <w:p>
      <w:pPr>
        <w:pStyle w:val="BodyText"/>
      </w:pPr>
      <w:r>
        <w:t xml:space="preserve">✓ Challenge–Response Authentication</w:t>
      </w:r>
    </w:p>
    <w:p>
      <w:pPr>
        <w:pStyle w:val="BodyText"/>
      </w:pPr>
      <w:r>
        <w:t xml:space="preserve">✓ Signature Verification</w:t>
      </w:r>
    </w:p>
    <w:p>
      <w:pPr>
        <w:pStyle w:val="BodyText"/>
      </w:pPr>
      <w:r>
        <w:t xml:space="preserve">✓ Hardware-backed Authentication</w:t>
      </w:r>
    </w:p>
    <w:p>
      <w:pPr>
        <w:pStyle w:val="BodyText"/>
      </w:pPr>
      <w:r>
        <w:t xml:space="preserve">Authentication Result:</w:t>
      </w:r>
    </w:p>
    <w:p>
      <w:pPr>
        <w:pStyle w:val="SourceCode"/>
      </w:pPr>
      <w:r>
        <w:rPr>
          <w:rStyle w:val="VerbatimChar"/>
        </w:rPr>
        <w:t xml:space="preserve">Challenge : Verified</w:t>
      </w:r>
      <w:r>
        <w:br/>
      </w:r>
      <w:r>
        <w:rPr>
          <w:rStyle w:val="VerbatimChar"/>
        </w:rPr>
        <w:t xml:space="preserve">Signature : Valid</w:t>
      </w:r>
      <w:r>
        <w:br/>
      </w:r>
      <w:r>
        <w:br/>
      </w:r>
      <w:r>
        <w:rPr>
          <w:rStyle w:val="VerbatimChar"/>
        </w:rPr>
        <w:t xml:space="preserve">RESULT : AUTHENTICATED</w:t>
      </w:r>
    </w:p>
    <w:p>
      <w:r>
        <w:pict>
          <v:rect style="width:0;height:1.5pt" o:hralign="center" o:hrstd="t" o:hr="t"/>
        </w:pict>
      </w:r>
    </w:p>
    <w:bookmarkEnd w:id="53"/>
    <w:bookmarkStart w:id="54" w:name="conclusion"/>
    <w:p>
      <w:pPr>
        <w:pStyle w:val="Heading1"/>
      </w:pPr>
      <w:r>
        <w:t xml:space="preserve">12. Conclusion</w:t>
      </w:r>
    </w:p>
    <w:p>
      <w:pPr>
        <w:pStyle w:val="FirstParagraph"/>
      </w:pPr>
      <w:r>
        <w:t xml:space="preserve">The project successfully implemented a TPM-based secure key management and device authentication framework on Windows 11 using TPM 2.0 and Microsoft Platform Crypto Provider.</w:t>
      </w:r>
    </w:p>
    <w:p>
      <w:pPr>
        <w:pStyle w:val="BodyText"/>
      </w:pPr>
      <w:r>
        <w:t xml:space="preserve">The implementation demonstrates that hardware-protected cryptographic keys can significantly improve authentication security by eliminating exposure of private keys to applications and users.</w:t>
      </w:r>
    </w:p>
    <w:p>
      <w:pPr>
        <w:pStyle w:val="BodyText"/>
      </w:pPr>
      <w:r>
        <w:t xml:space="preserve">The developed system provides:</w:t>
      </w:r>
    </w:p>
    <w:p>
      <w:pPr>
        <w:pStyle w:val="Compact"/>
        <w:numPr>
          <w:ilvl w:val="0"/>
          <w:numId w:val="1022"/>
        </w:numPr>
      </w:pPr>
      <w:r>
        <w:t xml:space="preserve">Secure key generation</w:t>
      </w:r>
    </w:p>
    <w:p>
      <w:pPr>
        <w:pStyle w:val="Compact"/>
        <w:numPr>
          <w:ilvl w:val="0"/>
          <w:numId w:val="1022"/>
        </w:numPr>
      </w:pPr>
      <w:r>
        <w:t xml:space="preserve">Secure key storage</w:t>
      </w:r>
    </w:p>
    <w:p>
      <w:pPr>
        <w:pStyle w:val="Compact"/>
        <w:numPr>
          <w:ilvl w:val="0"/>
          <w:numId w:val="1022"/>
        </w:numPr>
      </w:pPr>
      <w:r>
        <w:t xml:space="preserve">Non-exportable private keys</w:t>
      </w:r>
    </w:p>
    <w:p>
      <w:pPr>
        <w:pStyle w:val="Compact"/>
        <w:numPr>
          <w:ilvl w:val="0"/>
          <w:numId w:val="1022"/>
        </w:numPr>
      </w:pPr>
      <w:r>
        <w:t xml:space="preserve">Hardware-backed authentication</w:t>
      </w:r>
    </w:p>
    <w:p>
      <w:pPr>
        <w:pStyle w:val="Compact"/>
        <w:numPr>
          <w:ilvl w:val="0"/>
          <w:numId w:val="1022"/>
        </w:numPr>
      </w:pPr>
      <w:r>
        <w:t xml:space="preserve">Enterprise deployment compatibility</w:t>
      </w:r>
    </w:p>
    <w:p>
      <w:pPr>
        <w:pStyle w:val="FirstParagraph"/>
      </w:pPr>
      <w:r>
        <w:t xml:space="preserve">This architecture is suitable for organizations seeking stronger protection of authentication credentials and cryptographic assets while maintaining compatibility with existing Windows-based environments.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2026-06-22T11:19:02Z</dcterms:created>
  <dcterms:modified xsi:type="dcterms:W3CDTF">2026-06-22T11:19:02Z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