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Metadatos y checklist para envío a Innovar (v2)</w:t>
      </w:r>
    </w:p>
    <w:p>
      <w:pPr>
        <w:pStyle w:val="Normal"/>
      </w:pPr>
      <w:r>
        <w:t>Este documento no debe adjuntarse como manuscrito ciego. Sirve como apoyo para completar OJS y la ficha de autores de Innovar.</w:t>
      </w:r>
    </w:p>
    <w:p>
      <w:pPr>
        <w:pStyle w:val="Heading2"/>
      </w:pPr>
      <w:r>
        <w:t>Datos de autor</w:t>
      </w:r>
    </w:p>
    <w:p>
      <w:pPr>
        <w:pStyle w:val="Normal"/>
      </w:pPr>
      <w:r>
        <w:t>Autor: Roberto Pizarro Díaz</w:t>
      </w:r>
    </w:p>
    <w:p>
      <w:pPr>
        <w:pStyle w:val="Normal"/>
      </w:pPr>
      <w:r>
        <w:t>Perfil: Psicólogo y programador</w:t>
      </w:r>
    </w:p>
    <w:p>
      <w:pPr>
        <w:pStyle w:val="Normal"/>
      </w:pPr>
      <w:r>
        <w:t>Afiliación: Universidad Católica del Norte (UCN), Chile</w:t>
      </w:r>
    </w:p>
    <w:p>
      <w:pPr>
        <w:pStyle w:val="Normal"/>
      </w:pPr>
      <w:r>
        <w:t>Correo: rpd009@alumnos.ucn.cl</w:t>
      </w:r>
    </w:p>
    <w:p>
      <w:pPr>
        <w:pStyle w:val="Normal"/>
      </w:pPr>
      <w:r>
        <w:t>ORCID: [completar antes del envío en orcid.org]</w:t>
      </w:r>
    </w:p>
    <w:p>
      <w:pPr>
        <w:pStyle w:val="Heading2"/>
      </w:pPr>
      <w:r>
        <w:t>Metadatos del artículo</w:t>
      </w:r>
    </w:p>
    <w:p>
      <w:pPr>
        <w:pStyle w:val="Normal"/>
      </w:pPr>
      <w:r>
        <w:t>Título: Rituales organizacionales y legitimidad pública en América Latina: adaptación conceptual del modelo KANA-GP</w:t>
      </w:r>
    </w:p>
    <w:p>
      <w:pPr>
        <w:pStyle w:val="Normal"/>
      </w:pPr>
      <w:r>
        <w:t>Tipología sugerida en OJS: Artículo de reflexión</w:t>
      </w:r>
    </w:p>
    <w:p>
      <w:pPr>
        <w:pStyle w:val="Normal"/>
      </w:pPr>
      <w:r>
        <w:t>Idioma: Español</w:t>
      </w:r>
    </w:p>
    <w:p>
      <w:pPr>
        <w:pStyle w:val="Normal"/>
      </w:pPr>
      <w:r>
        <w:t>Palabras clave: gestión pública; cultura organizacional; legitimidad institucional; poder simbólico; rituales organizacionales; América Latina</w:t>
      </w:r>
    </w:p>
    <w:p>
      <w:pPr>
        <w:pStyle w:val="Normal"/>
      </w:pPr>
      <w:r>
        <w:t>Keywords: public management; organizational culture; institutional legitimacy; symbolic power; organizational rituals; Latin America</w:t>
      </w:r>
    </w:p>
    <w:p>
      <w:pPr>
        <w:pStyle w:val="Normal"/>
      </w:pPr>
      <w:r>
        <w:t>Códigos JEL: H83; M14; Z13</w:t>
      </w:r>
    </w:p>
    <w:p>
      <w:pPr>
        <w:pStyle w:val="Heading2"/>
      </w:pPr>
      <w:r>
        <w:t>Checklist de envío Innovar</w:t>
      </w:r>
    </w:p>
    <w:p>
      <w:pPr>
        <w:pStyle w:val="ListBullet"/>
      </w:pPr>
      <w:r>
        <w:t>Usar el manuscrito anonimizado para evaluación doble ciega.</w:t>
      </w:r>
    </w:p>
    <w:p>
      <w:pPr>
        <w:pStyle w:val="ListBullet"/>
      </w:pPr>
      <w:r>
        <w:t>Completar la ficha de autores de Innovar y guardar el código solicitado para OJS.</w:t>
      </w:r>
    </w:p>
    <w:p>
      <w:pPr>
        <w:pStyle w:val="ListBullet"/>
      </w:pPr>
      <w:r>
        <w:t>Completar ORCID real antes de envío.</w:t>
      </w:r>
    </w:p>
    <w:p>
      <w:pPr>
        <w:pStyle w:val="ListBullet"/>
      </w:pPr>
      <w:r>
        <w:t>Verificar que el manuscrito no esté bajo evaluación simultánea en otra revista.</w:t>
      </w:r>
    </w:p>
    <w:p>
      <w:pPr>
        <w:pStyle w:val="ListBullet"/>
      </w:pPr>
      <w:r>
        <w:t>Adjuntar figuras en escala de grises en formato editable o PNG de alta resolución si OJS lo solicita.</w:t>
      </w:r>
    </w:p>
    <w:p>
      <w:pPr>
        <w:pStyle w:val="ListBullet"/>
      </w:pPr>
      <w:r>
        <w:t>Revisar correspondencia final entre citas y referencias antes del envío.</w:t>
      </w:r>
    </w:p>
    <w:p>
      <w:pPr>
        <w:pStyle w:val="ListBullet"/>
      </w:pPr>
      <w:r>
        <w:t>Verificar DOI de referencias añadidas y no inventar DOI faltantes.</w:t>
      </w:r>
    </w:p>
    <w:p>
      <w:pPr>
        <w:pStyle w:val="ListBullet"/>
      </w:pPr>
      <w:r>
        <w:t>Completar metadatos OJS: título, resumen, palabras clave, JEL y tipología de artículo.</w:t>
      </w:r>
    </w:p>
    <w:p>
      <w:pPr>
        <w:pStyle w:val="Heading2"/>
      </w:pPr>
      <w:r>
        <w:t>Auditoría DOI y referencias críticas (§3.7)</w:t>
      </w:r>
    </w:p>
    <w:p>
      <w:pPr>
        <w:pStyle w:val="ListBullet"/>
      </w:pPr>
      <w:r>
        <w:t>Bryson et al. (2014): DOI presente en referencias: https://doi.org/10.1111/puar.12238.</w:t>
      </w:r>
    </w:p>
    <w:p>
      <w:pPr>
        <w:pStyle w:val="ListBullet"/>
      </w:pPr>
      <w:r>
        <w:t>Hood (1991): DOI presente en referencias: https://doi.org/10.1111/j.1467-9299.1991.tb00779.x.</w:t>
      </w:r>
    </w:p>
    <w:p>
      <w:pPr>
        <w:pStyle w:val="ListBullet"/>
      </w:pPr>
      <w:r>
        <w:t>Osborne (2006): DOI presente en referencias: https://doi.org/10.1080/14719030600853022.</w:t>
      </w:r>
    </w:p>
    <w:p>
      <w:pPr>
        <w:pStyle w:val="ListBullet"/>
      </w:pPr>
      <w:r>
        <w:t>Suchman (1995): DOI presente en referencias: https://doi.org/10.5465/amr.1995.9508080331.</w:t>
      </w:r>
    </w:p>
    <w:p>
      <w:pPr>
        <w:pStyle w:val="ListBullet"/>
      </w:pPr>
      <w:r>
        <w:t>Lipsky (1980): libro; no se incorpora DOI sin verificación editorial. Si Innovar solicita enlace, usar página de editorial o repositorio bibliográfico confiable.</w:t>
      </w:r>
    </w:p>
    <w:p>
      <w:pPr>
        <w:pStyle w:val="ListBullet"/>
      </w:pPr>
      <w:r>
        <w:t>March y Olsen (1989): libro; no se incorpora DOI sin verificación editorial. Si Innovar solicita enlace, usar página de editorial o repositorio bibliográfico confiable.</w:t>
      </w:r>
    </w:p>
    <w:p>
      <w:pPr>
        <w:pStyle w:val="ListBullet"/>
      </w:pPr>
      <w:r>
        <w:t>Pollitt y Bouckaert (2017): libro; no se incorpora DOI sin verificación editorial. Si Innovar solicita enlace, usar página de editorial o repositorio bibliográfico confiable.</w:t>
      </w:r>
    </w:p>
    <w:p>
      <w:pPr>
        <w:pStyle w:val="ListBullet"/>
      </w:pPr>
      <w:r>
        <w:t>Pendiente antes del envío: auditoría cruzada final citas/referencias en Antigravity o gestor bibliográfico.</w:t>
      </w:r>
    </w:p>
    <w:p>
      <w:pPr>
        <w:pStyle w:val="Heading2"/>
      </w:pPr>
      <w:r>
        <w:t>Control de cambios v2</w:t>
      </w:r>
    </w:p>
    <w:p>
      <w:pPr>
        <w:pStyle w:val="ListBullet"/>
      </w:pPr>
      <w:r>
        <w:t>Corregida la frase “resultados estadísticos propios propia” por “resultados estadísticos propios del autor”.</w:t>
      </w:r>
    </w:p>
    <w:p>
      <w:pPr>
        <w:pStyle w:val="ListBullet"/>
      </w:pPr>
      <w:r>
        <w:t>Reemplazada la autorreferencia “propuesta conceptual desarrollada por el manuscrito” por “propuesta conceptual articulada en este artículo”.</w:t>
      </w:r>
    </w:p>
    <w:p>
      <w:pPr>
        <w:pStyle w:val="ListBullet"/>
      </w:pPr>
      <w:r>
        <w:t>Ajustada la frase sobre experiencia propia para evitar autorrevelación en revisión doble ciega.</w:t>
      </w:r>
    </w:p>
    <w:p>
      <w:pPr>
        <w:pStyle w:val="ListBullet"/>
      </w:pPr>
      <w:r>
        <w:t>Resumen verificado: 142 palabras, bajo el máximo de 210 palabras de Innovar.</w:t>
      </w:r>
    </w:p>
    <w:p>
      <w:pPr>
        <w:pStyle w:val="ListBullet"/>
      </w:pPr>
      <w:r>
        <w:t>Abstract verificado: 137 palabras.</w:t>
      </w:r>
    </w:p>
    <w:p>
      <w:pPr>
        <w:pStyle w:val="Heading2"/>
      </w:pPr>
      <w:r>
        <w:t>Nota editorial</w:t>
      </w:r>
    </w:p>
    <w:p>
      <w:pPr>
        <w:pStyle w:val="Normal"/>
      </w:pPr>
      <w:r>
        <w:t>La versión adaptada se preparó como artículo de reflexión, no como artículo de revisión sistemática. Por ello no debe presentarse como revisión de literatura exhaustiva de 50 documentos. Su aporte es conceptual y programático: ordenar literatura relevante, delimitar una brecha y proponer el modelo KANA-GP como gramática analítica para investigaciones empíricas futuras.</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