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Rituales organizacionales y legitimidad pública en América Latina: adaptación conceptual del modelo KANA-GP</w:t>
      </w:r>
    </w:p>
    <w:p>
      <w:pPr>
        <w:pStyle w:val="Heading1"/>
      </w:pPr>
      <w:r>
        <w:t>Resumen</w:t>
      </w:r>
    </w:p>
    <w:p>
      <w:r>
        <w:t>Este artículo desarrolla una reflexión conceptual sustentada en revisión bibliográfica y análisis hermenéutico sobre rituales organizacionales, poder simbólico y gestión pública latinoamericana. A partir de literatura de antropología, sociología, psicología organizacional, estudios críticos de la organización y administración pública, propone una adaptación del modelo KANA al campo estatal bajo la denominación KANA-GP. El argumento central sostiene que los rituales institucionales no son actos protocolares accesorios: producen sentido, articulan pertenencia, distribuyen reconocimiento y afectan la legitimidad pública. El manuscrito dialoga con Gazi Islam, Hobson et al., Turner, Bourdieu, Weick, Moore e Ibarra-Colado para formular una gramática analítica de cuatro dimensiones: sentido, pertenencia, valoración y legitimidad pública. El artículo no presenta datos empíricos; su contribución es teórica, reflexiva y documental. Su aporte consiste en ordenar literatura relevante y proponer una agenda empírica posterior para estudiar los rituales de la gestión pública latinoamericana.</w:t>
      </w:r>
    </w:p>
    <w:p>
      <w:r>
        <w:t>Palabras clave: gestión pública; cultura organizacional; legitimidad institucional; poder simbólico; rituales organizacionales; América Latina.</w:t>
      </w:r>
    </w:p>
    <w:p>
      <w:r>
        <w:t>Códigos JEL: H83; M14; Z13.</w:t>
      </w:r>
    </w:p>
    <w:p>
      <w:pPr>
        <w:pStyle w:val="Heading1"/>
      </w:pPr>
      <w:r>
        <w:t>Abstract</w:t>
      </w:r>
    </w:p>
    <w:p>
      <w:r>
        <w:t>This article develops a conceptual reflection based on bibliographic review and hermeneutic analysis of organizational rituals, symbolic power and Latin American public management. Drawing on anthropology, sociology, organizational psychology, critical organization studies and public administration, it proposes a conceptual adaptation of the KANA model to the public sector under the name KANA-GP. The central argument is that institutional rituals are not accessory protocol acts: they produce meaning, articulate belonging, distribute recognition and affect public legitimacy. The paper engages with Gazi Islam, Hobson et al., Turner, Bourdieu, Weick, Moore and Ibarra-Colado to formulate a four-dimensional analytical grammar: meaning, belonging, recognition and public legitimacy. No empirical data are presented; the contribution is theoretical, reflective and documentary. The article organizes relevant literature and proposes a future empirical research agenda to study rituals in Latin American public management.</w:t>
      </w:r>
    </w:p>
    <w:p>
      <w:r>
        <w:t>Keywords: public management; organizational culture; institutional legitimacy; symbolic power; organizational rituals; Latin America.</w:t>
      </w:r>
    </w:p>
    <w:p>
      <w:r>
        <w:t>JEL Codes: H83; M14; Z13.</w:t>
      </w:r>
    </w:p>
    <w:p>
      <w:pPr>
        <w:pStyle w:val="Heading1"/>
      </w:pPr>
      <w:r>
        <w:t>1. Introducción</w:t>
      </w:r>
    </w:p>
    <w:p>
      <w:r>
        <w:t>Las organizaciones públicas latinoamericanas operan en un escenario de tensiones permanentes: presión por eficiencia, precariedad institucional, demandas ciudadanas en expansión y procesos de digitalización que transforman los modos de trabajo sin ofrecer siempre sustitutos simbólicos adecuados. En ese contexto, los rituales organizacionales suelen ser reducidos a actos protocolares o ceremonias de baja relevancia analítica. Esta reducción no es inocente: empobrece la comprensión de la cultura institucional y vuelve invisible una dimensión central de la gestión pública, aquella donde las instituciones narran su identidad, distribuyen reconocimiento y producen sentido colectivo.</w:t>
      </w:r>
    </w:p>
    <w:p>
      <w:r>
        <w:t>La pregunta que organiza este artículo es la siguiente: ¿cómo puede una revisión bibliográfica sobre rituales organizacionales, poder simbólico y significado del trabajo fundamentar una adaptación del modelo KANA para la gestión pública latinoamericana? Esta pregunta articula tres objetivos específicos. Primero, caracterizar las funciones simbólicas y regulatorias de los rituales según la literatura especializada, superando las lecturas exclusivamente funcionalistas. Segundo, analizar la contribución de Gazi Islam para comprender la relación entre ritual, poder, exclusión y legitimidad en las organizaciones. Tercero, presentar el modelo KANA como propuesta conceptual propia, precisar sus fundamentos teóricos, sus dimensiones analíticas y su posición epistemológica, y proponer su adaptación al campo de la gestión pública latinoamericana bajo la denominación KANA-GP.</w:t>
      </w:r>
    </w:p>
    <w:p>
      <w:r>
        <w:t>La relevancia de esta discusión descansa en tres argumentos convergentes. Primero, la gestión pública concentra su atención en procedimientos, métricas e indicadores, pero tiende a desatender las prácticas culturales que sostienen la legitimidad cotidiana de las instituciones. Segundo, América Latina requiere marcos conceptuales sensibles a su historia institucional específica: la convivencia entre burocracia formal y sociabilidad comunitaria, la vigencia de tradiciones simbólicas de larga duración y las asimetrías de poder inscritas en formas heredadas de autoridad. Tercero, la expansión del trabajo híbrido y la digitalización han alterado rituales laborales sedimentados —saludos, reuniones, almuerzos, ceremonias de reconocimiento—, debilitando modos de pertenencia que antes se daban por supuestos y exigiendo nuevas respuestas desde la gestión institucional.</w:t>
      </w:r>
    </w:p>
    <w:p>
      <w:r>
        <w:t>El presente artículo es teórico y documental. No presenta datos empíricos ni resultados de campo. Esta declaración no constituye una limitación encubierta, sino un criterio de integridad académica: la contribución radica en ordenar la literatura disponible, construir un marco interpretativo fundamentado y proponer hipótesis conceptuales para investigación empírica futura.</w:t>
      </w:r>
    </w:p>
    <w:p>
      <w:r>
        <w:t>La orientación editorial de esta versión se desplaza deliberadamente desde la discusión general de cultura organizacional hacia un problema de gestión pública: la producción simbólica de legitimidad institucional. Por ello, el artículo no se limita a describir rituales laborales, sino que pregunta por su contribución a la confianza pública, al reconocimiento del trabajo estatal y a la coherencia entre discurso institucional y práctica cotidiana. Esta focalización permite situar KANA-GP como una herramienta conceptual útil para estudiar política pública, implementación organizacional y gobernanza democrática en América Latina.</w:t>
      </w:r>
    </w:p>
    <w:p>
      <w:r>
        <w:t>Esta precisión también permite delimitar el tipo de contribución esperada por los árbitros. No se trata de demostrar que determinados rituales producen determinados efectos, sino de justificar por qué la categoría ritual debe incorporarse al análisis de la gestión pública. El manuscrito, por tanto, debe ser leído como una revisión conceptual con vocación programática: organiza un campo disperso, identifica una brecha teórica y formula un modelo inicial para investigar instituciones públicas latinoamericanas. Su calidad dependerá menos de la cantidad de casos revisados que de la coherencia interna de la argumentación, la pertinencia de las fuentes y la posibilidad de traducir sus categorías a preguntas empíricas futuras.</w:t>
      </w:r>
    </w:p>
    <w:p>
      <w:r>
        <w:t>Una consecuencia práctica de esta delimitación es que todo uso posterior del modelo deberá conservar trazabilidad entre categoría, fuente y evidencia. En futuras aplicaciones, cada observación ritual deberá documentar contexto, actores, símbolos, secuencia y efectos percibidos, evitando conclusiones generales sin soporte empírico. Esta exigencia fortalece la transparencia metodológica y protege al modelo de convertirse en una etiqueta retórica sin capacidad analítica.</w:t>
      </w:r>
    </w:p>
    <w:p>
      <w:pPr>
        <w:pStyle w:val="Heading1"/>
      </w:pPr>
      <w:r>
        <w:t>2. Metodología: reflexión bibliográfica y análisis hermenéutico</w:t>
      </w:r>
    </w:p>
    <w:p>
      <w:r>
        <w:t>El estudio adopta un diseño cualitativo de reflexión bibliográfica con análisis hermenéutico, compatible con la tipología de artículo de reflexión basada en literatura relevante. Su propósito no es medir relaciones causales ni validar estadísticamente ningún modelo, sino construir un marco conceptual riguroso a partir de la literatura sobre rituales organizacionales, cultura institucional, poder simbólico y gestión pública. Por ello, las expresiones “resultados” y “discusión” refieren a resultados de la revisión y la síntesis interpretativa, no a resultados de campo. Este manuscrito no contiene encuestas, entrevistas, observaciones de campo ni resultados estadísticos propios del autor; cualquier validación empírica del modelo KANA-GP deberá desarrollarse en investigaciones posteriores con protocolo metodológico, criterios de selección de casos, consentimiento informado e instrumentos auditables.</w:t>
      </w:r>
    </w:p>
    <w:p>
      <w:r>
        <w:t>El artículo asume una posición epistemológica de realismo crítico moderado: los rituales existen como prácticas sociales objetivadas, pero su significado es siempre interpretado y contextualmente situado. Esta posición es coherente con la hermenéutica y con la tradición de los estudios críticos de la organización. La limitación principal —el carácter documental del trabajo— es constitutiva del diseño adoptado y será abordada en investigaciones empíricas posteriores.</w:t>
      </w:r>
    </w:p>
    <w:p>
      <w:r>
        <w:t>Además de la revisión teórica, se realizó una lectura orientada por pertinencia editorial. Esto significa que cada categoría fue evaluada por su capacidad para dialogar con problemas centrales de gestión pública: legitimidad institucional, confianza ciudadana, implementación de políticas, rendición de cuentas y capacidad organizacional. Este filtro evita que el manuscrito quede restringido a una discusión de psicología organizacional o antropología del trabajo, y permite situarlo como un artículo de administración pública. La revisión no busca reconstruir exhaustivamente todo el campo de los rituales, sino identificar un conjunto de categorías transferibles al análisis de instituciones estatales latinoamericanas. En consecuencia, el valor del artículo no depende de producir evidencia empírica original, sino de formular un marco conceptual útil para ordenar preguntas de investigación y orientar futuros estudios de caso.</w:t>
      </w:r>
    </w:p>
    <w:p>
      <w:pPr>
        <w:pStyle w:val="Heading2"/>
      </w:pPr>
      <w:r>
        <w:t>2.1. Estrategia de revisión</w:t>
      </w:r>
    </w:p>
    <w:p>
      <w:r>
        <w:t>La búsqueda bibliográfica se organizó en torno a cinco familias conceptuales: (a) rituales organizacionales y cultura institucional; (b) identidad laboral y significado del trabajo; (c) poder simbólico y estudios críticos de la organización; (d) gestión pública latinoamericana y valor público; y (e) bienestar, liderazgo emocional y reconocimiento organizacional. La selección integró textos clásicos de antropología y sociología del ritual, artículos de psicología de los rituales, trabajos críticos de Gazi Islam, literatura de gestión pública y estudios latinoamericanos de cultura organizacional. Se priorizaron obras que permiten construir interpretación transversal y que han tenido incidencia demostrada en el campo, sin pretender exhaustividad bibliométrica. El análisis temático siguió una lógica inspirada en Braun y Clarke (2006): familiarización con el corpus, identificación de códigos, agrupación de temas y revisión interpretativa de categorías.</w:t>
      </w:r>
    </w:p>
    <w:p>
      <w:r>
        <w:t>Tabla 1. Criterios de revisión y lectura documental</w:t>
      </w:r>
    </w:p>
    <w:p>
      <w:r>
        <w:t>Fuente: elaboración conceptual propia. La tabla sintetiza criterios de lectura, no resultados empíricos.</w:t>
      </w:r>
    </w:p>
    <w:p>
      <w:pPr>
        <w:pStyle w:val="Heading2"/>
      </w:pPr>
      <w:r>
        <w:t>2.2. Análisis documental y procedimiento hermenéutico</w:t>
      </w:r>
    </w:p>
    <w:p>
      <w:r>
        <w:t>El análisis documental se concentró en tres obras de Gazi Islam (2009, 2014, 2015), seleccionadas por constituir el corpus más sistemático disponible sobre rituales organizacionales desde una perspectiva crítica. Cada texto fue sometido a lectura hermenéutica en profundidad, identificando categorías analíticas centrales, marcos teóricos de referencia, tensiones con otras tradiciones y pertinencia para el contexto latinoamericano. Este análisis se articuló con el trabajo experimental de Hobson et al. (2018) como referente psicológico, y con los textos fundacionales de Turner (1967, 1969), Durkheim (1912/1995), Goffman (1959), Bourdieu (1977) y Weick (1995).</w:t>
      </w:r>
    </w:p>
    <w:p>
      <w:r>
        <w:t>La interpretación se realizó en tres movimientos consecutivos. En el primero se identificaron categorías recurrentes en la literatura: regulación emocional, regulación del desempeño, cohesión social, poder simbólico, exclusión, pertenencia, reconocimiento, ruptura ritual y resignificación. En el segundo, esas categorías se contrastaron con las dimensiones del modelo KANA —entendido en esta etapa como propuesta conceptual propia y no como escala empíricamente validada—. En el tercero, se organizó una matriz de traducción entre la literatura ritual y la gestión pública, con el fin de mostrar cómo los rituales pueden ser analizados como dispositivos de sentido, pertenencia, valoración y legitimidad institucional.</w:t>
      </w:r>
    </w:p>
    <w:p>
      <w:pPr>
        <w:pStyle w:val="Heading1"/>
      </w:pPr>
      <w:r>
        <w:t>3. Marco teórico</w:t>
      </w:r>
    </w:p>
    <w:p>
      <w:pPr>
        <w:pStyle w:val="Heading2"/>
      </w:pPr>
      <w:r>
        <w:t>3.1. Los rituales como reguladores organizacionales: de la función a la complejidad</w:t>
      </w:r>
    </w:p>
    <w:p>
      <w:r>
        <w:t>La literatura clásica sobre rituales establece que estas prácticas desempeñan funciones que exceden la repetición ceremonial. Durkheim (1912/1995) los describió como actos que producen efervescencia colectiva y refuerzan la solidaridad del grupo mediante la activación de símbolos sagrados compartidos. Turner (1967, 1969) propuso el concepto de communitas para designar la experiencia transitoria de igualdad e integración que los rituales de paso generan en sus participantes, atravesando las fases de separación, liminalidad y reincorporación que Van Gennep (1909/1960) había identificado como estructura universal del rito. Geertz (1973) insistió en que los rituales son textos culturales: condensan cosmovisiones, articulan normas y hacen públicamente visible lo que una comunidad considera valioso.</w:t>
      </w:r>
    </w:p>
    <w:p>
      <w:r>
        <w:t>En la psicología organizacional contemporánea, Hobson et al. (2018) demostraron que los rituales —incluso aquellos sin propósito instrumental explícito— producen efectos medibles sobre tres dimensiones regulatorias: (a) la regulación emocional, al reducir ansiedad y reforzar el sentido de control ante incertidumbre; (b) la regulación del desempeño, al activar umbrales motivacionales y enmarcar cognitivamente la acción; y (c) la regulación de la conexión social, al generar pertenencia grupal mediante la participación compartida en actos simbólicos.</w:t>
      </w:r>
    </w:p>
    <w:p>
      <w:r>
        <w:t>Sin embargo, una teoría organizacional completa no puede reducir los rituales a mecanismos positivos de cohesión. Los rituales también pueden bloquear innovación, excluir voces disidentes, naturalizar jerarquías y operar como técnicas de control simbólico. Schein (2010) observó que la cultura organizacional se reproduce a través de artefactos rituales tan sedimentados que los miembros dejan de cuestionarlos. Trice y Beyer (1984) distinguieron tipos de rituales —de paso, de degradación, de realce, de renovación, de reducción de conflictos e integración— mostrando que su función depende del diseño, el contexto y las relaciones de poder en que se inscriben. En una lectura foucaultiana, estos ritos también pueden operar como tecnologías de disciplina y normalización, al ordenar cuerpos, tiempos, jerarquías y formas aceptables de enunciación dentro de la organización (Foucault, 1975).</w:t>
      </w:r>
    </w:p>
    <w:p>
      <w:pPr>
        <w:pStyle w:val="Heading2"/>
      </w:pPr>
      <w:r>
        <w:t>3.2. Gazi Islam: poder, exclusión y legitimidad ritual</w:t>
      </w:r>
    </w:p>
    <w:p>
      <w:r>
        <w:t>La contribución de Gazi Islam representa el avance crítico más sistemático en el estudio de rituales organizacionales. Su punto de partida es desplazar la pregunta desde qué hace el ritual hacia quién lo define, a quién incluye y qué jerarquías naturaliza. En Rituals in Organizations (Islam, 2009), el autor argumenta que los rituales son simultáneamente medios de cohesión y de diferenciación: refuerzan vínculos al interior del grupo mientras trazan fronteras simbólicas que señalan quién pertenece y quién queda afuera. Esta doble función hace del ritual un mecanismo de poder, no sólo de integración.</w:t>
      </w:r>
    </w:p>
    <w:p>
      <w:r>
        <w:t>En su análisis de los mitos culturales dominantes (Islam, 2014), el autor examina cómo las organizaciones construyen narrativas ritualizadas que legitiman formas específicas de liderazgo, éxito e identidad laboral, desplazando al margen otras formas de contribución y experiencia. Este mecanismo de legitimación simbólica tiene consecuencias directas en la distribución del reconocimiento: los rituales no sólo celebran logros, también definen qué logros merecen ser celebrados y qué actores encarnan el ideal organizacional. En instituciones públicas latinoamericanas, donde ese ideal suele reproducir modelos importados de gestión que invisibilizan el trabajo relacional, comunitario y de cuidado, esta crítica resulta especialmente pertinente.</w:t>
      </w:r>
    </w:p>
    <w:p>
      <w:r>
        <w:t>En Organizational Ritual Rupture Repetition (Islam, 2015), el autor examina el papel de la interrupción ritual en los procesos de cambio organizacional. Las rupturas —momentos en que los rituales establecidos son suspendidos, alterados o violentados— generan crisis de sensemaking que revelan la profundidad de la función reguladora del ritual: lo que antes operaba como trasfondo invisible se vuelve visible precisamente cuando desaparece. Islam señala que los cambios organizacionales que no incorporan una lectura ritual suelen enfrentar resistencias que los gestores interpretan como irracionales, pero que en realidad responden a la pérdida de marcos de sentido y pertenencia.</w:t>
      </w:r>
    </w:p>
    <w:p>
      <w:r>
        <w:t>La lectura de Islam es indispensable para fundamentar el modelo KANA porque impide que sus dimensiones sean interpretadas de forma funcionalista e ingenua. Sentido, pertenencia y valoración no son dimensiones neutras: cada una puede ser apropiada por actores dominantes para reproducir asimetrías, o puede ser disputada por actores subalternos para abrir nuevas formas de legitimidad.</w:t>
      </w:r>
    </w:p>
    <w:p>
      <w:pPr>
        <w:pStyle w:val="Heading2"/>
      </w:pPr>
      <w:r>
        <w:t>3.3. Dimensiones intrapersonal e interpersonal del significado del trabajo</w:t>
      </w:r>
    </w:p>
    <w:p>
      <w:r>
        <w:t>La revisión bibliográfica permite sostener que el significado del trabajo mediado por rituales opera en al menos dos dimensiones analíticas diferenciadas. La dimensión intrapersonal refiere al conjunto de narrativas que el trabajador construye internamente sobre su propio trabajo. Esta dimensión conecta con la noción de identidad narrativa de Ricoeur (1990), quien sostiene que los sujetos construyen un relato de sí mismos en el tiempo que les permite mantener coherencia de identidad ante el cambio. Conecta también con el concepto de sensemaking de Weick (1995), entendido como proceso de construcción retrospectiva de significado mediante el cual los actores organizacionales explican su experiencia de manera comprensible para sí mismos.</w:t>
      </w:r>
    </w:p>
    <w:p>
      <w:r>
        <w:t>La dimensión interpersonal refiere a las narrativas que el trabajador comunica activamente a sus redes. Esta dimensión conecta con la propuesta dramatúrgica de Goffman (1959), para quien toda interacción social es una actuación orientada a la gestión de la identidad frente a una audiencia, y con la teoría del impression management de Leary y Kowalski (1990). Los rituales proveen a los trabajadores de material simbólico socialmente legible: ceremonias, reconocimientos y narrativas que pueden ser comunicados como señales de pertenencia y valor.</w:t>
      </w:r>
    </w:p>
    <w:p>
      <w:r>
        <w:t>La intersección de ambas dimensiones define el espacio de mayor densidad simbólica del ritual: el momento en que la experiencia interna del trabajador se hace visible y socialmente reconocible. Un ritual de reconocimiento eficaz opera simultáneamente en los dos planos: confirma la autoimagen del trabajador y lo dota de una narrativa que puede comunicar a sus redes. La ausencia de rituales deja experiencias relevantes sin lenguaje, sin reconocimiento y sin cierre.</w:t>
      </w:r>
    </w:p>
    <w:p>
      <w:pPr>
        <w:pStyle w:val="Heading2"/>
      </w:pPr>
      <w:r>
        <w:t>3.4. El modelo KANA: fundamentos, dimensiones y posición epistemológica</w:t>
      </w:r>
    </w:p>
    <w:p>
      <w:r>
        <w:t>#### 3.4.1. Origen y propósito</w:t>
      </w:r>
    </w:p>
    <w:p>
      <w:r>
        <w:t>El modelo KANA es una propuesta conceptual articulada en este artículo para observar procesos de construcción de sentido, pertenencia y valoración en instituciones latinoamericanas mediante el análisis de sus rituales organizacionales. El modelo es una síntesis de categorías derivadas de la revisión bibliográfica, articulada a partir de literatura sobre diagnóstico e intervención organizacional en contextos latinoamericanos. Su propósito en esta etapa es teórico y organizativo: no es una escala validada, no es un cuestionario aplicado en terreno y no pretende tener validez psicométrica demostrada. Su función es ordenar preguntas, articular categorías y proponer una gramática interpretativa que pueda ser operacionalizada en investigaciones empíricas posteriores.</w:t>
      </w:r>
    </w:p>
    <w:p>
      <w:r>
        <w:t>#### 3.4.2. Dimensiones del modelo KANA</w:t>
      </w:r>
    </w:p>
    <w:p>
      <w:r>
        <w:t>El modelo articula cuatro dimensiones analíticas, cada una orientada por una pregunta central:</w:t>
      </w:r>
    </w:p>
    <w:p>
      <w:r>
        <w:t>Dimensión 1 — Sentido: ¿Qué propósito colectivo hace visible el ritual? El sentido refiere a la capacidad de una práctica ritual para conectar acciones cotidianas con un propósito compartido que las trasciende. Desde la perspectiva de Weick (1995), el sentido no es dado sino construido: los rituales participan en esa construcción al ofrecer marcos de interpretación colectiva. En gestión pública, esta dimensión es crítica porque el trabajo estatal se legitima ante los propios funcionarios por su contribución al bien común.</w:t>
      </w:r>
    </w:p>
    <w:p>
      <w:r>
        <w:t>Dimensión 2 — Pertenencia: ¿Quién queda incluido o excluido del ritual? La pertenencia refiere a la experiencia de ser parte de una comunidad institucional con historia, vínculos y misión reconocibles. Esta dimensión articula los conceptos de communitas (Turner, 1967), identidad social (Goffman, 1959) y frontera simbólica (Bourdieu, 1977). En organizaciones públicas, la pertenencia no se reduce al equipo interno: incluye vínculos con territorio, ciudadanía y memoria institucional.</w:t>
      </w:r>
    </w:p>
    <w:p>
      <w:r>
        <w:t>Dimensión 3 — Valoración: ¿Qué contribuciones reciben reconocimiento y cuáles quedan invisibles? La valoración refiere al reconocimiento simbólico de personas, trayectorias y contribuciones. Desde la teoría de Islam (2009, 2014), los rituales de valoración distribuyen poder: definen qué conductas encarnan el ideal organizacional y cuáles quedan al margen. En el sector público, muchas tareas esenciales son invisibles —atención ciudadana, trabajo de soporte, gestión emocional de conflictos, coordinación interinstitucional— y los rituales pueden hacerlas visibles o reforzar su invisibilidad.</w:t>
      </w:r>
    </w:p>
    <w:p>
      <w:r>
        <w:t>Dimensión 4 — Legitimidad pública: ¿Cómo conecta el ritual con la ciudadanía y el bien común? Esta dimensión es la extensión específica del modelo para el campo de la gestión pública. El concepto de valor público de Moore (1995) es su referente principal: las instituciones públicas deben generar confianza ciudadana, transparencia y legitimidad democrática. Cuando la narrativa del ritual es coherente con la práctica institucional real, el ritual fortalece legitimidad. Cuando es contradictoria, produce cinismo y erosión de confianza.</w:t>
      </w:r>
    </w:p>
    <w:p>
      <w:r>
        <w:t>#### 3.4.3. Articulación con el marco bibliográfico</w:t>
      </w:r>
    </w:p>
    <w:p>
      <w:r>
        <w:t>El modelo dialoga con Islam al incorporar la pregunta por poder y exclusión en cada dimensión; con Hobson et al. al reconocer que los rituales producen efectos regulatorios reales; con Weick al entender el sentido como construcción activa; con Bourdieu al tratar la pertenencia como capital simbólico y campo de disputas; y con Moore al exigir que la gestión pública rinda cuentas de los marcos de sentido y legitimidad que construye.</w:t>
      </w:r>
    </w:p>
    <w:p>
      <w:r>
        <w:t>Figura 1. Modelo conceptual KANA-GP.</w:t>
      </w:r>
    </w:p>
    <w:p>
      <w:r>
        <w:t>Fuente: elaboración conceptual propia a partir de la revisión bibliográfica.</w:t>
      </w:r>
    </w:p>
    <w:p>
      <w:pPr>
        <w:pStyle w:val="Heading2"/>
      </w:pPr>
      <w:r>
        <w:t>3.5. Gestión pública latinoamericana y legitimidad ritual</w:t>
      </w:r>
    </w:p>
    <w:p>
      <w:r>
        <w:t>El traslado del análisis ritual al campo de la gestión pública exige considerar una diferencia decisiva respecto de las organizaciones privadas: el destinatario último del sentido institucional no es sólo el trabajador, sino la ciudadanía. En el sector público, los rituales internos y externos participan en la construcción de valor público (Moore, 1995), porque comunican qué considera importante una institución y cómo interpreta su obligación democrática.</w:t>
      </w:r>
    </w:p>
    <w:p>
      <w:r>
        <w:t>Desde una perspectiva latinoamericana, esta proyección no puede analizarse al margen de las desigualdades históricas, de la colonialidad epistémica y de la tensión entre formalidad burocrática y sociabilidad comunitaria. Ibarra-Colado (2006) advierte que los estudios organizacionales tienden a importar categorías del norte global sin atender a las condiciones históricas de la región. En consecuencia, una teoría de los rituales públicos latinoamericanos debe observar no sólo si una ceremonia funciona, sino también si reproduce jerarquías, invisibiliza saberes territoriales o convierte la participación ciudadana en una representación sin incidencia real.</w:t>
      </w:r>
    </w:p>
    <w:p>
      <w:pPr>
        <w:pStyle w:val="Heading2"/>
      </w:pPr>
      <w:r>
        <w:t>3.6. Gestión pública, valor público y rituales de legitimidad</w:t>
      </w:r>
    </w:p>
    <w:p>
      <w:r>
        <w:t>La relación entre rituales y gestión pública requiere introducir el problema del valor público. Moore (1995) sostiene que las organizaciones estatales no pueden evaluarse únicamente por eficiencia interna, porque su razón de ser consiste en crear valor reconocido por la ciudadanía. Desde esta perspectiva, un ritual institucional no se agota en su efecto sobre los trabajadores: también comunica una imagen del Estado, de sus prioridades y de su modo de relacionarse con la sociedad. Una ceremonia de rendición de cuentas, una audiencia participativa o un acto de reconocimiento interno son prácticas que delimitan lo que la institución entiende por servicio, responsabilidad y bien común.</w:t>
      </w:r>
    </w:p>
    <w:p>
      <w:r>
        <w:t>Este enfoque permite diferenciar tres planos de análisis. El primero es el plano organizacional interno, donde el ritual produce cohesión, orientación y reconocimiento. El segundo es el plano político-institucional, donde el ritual legitima una forma de autoridad y una narrativa sobre la acción pública. El tercero es el plano ciudadano, donde el ritual es interpretado por usuarios, comunidades y actores externos como signo de apertura, indiferencia, transparencia o simulación. KANA-GP se ubica precisamente en la intersección de esos tres planos: no observa el ritual sólo como cultura organizacional, sino como dispositivo de gobernanza simbólica.</w:t>
      </w:r>
    </w:p>
    <w:p>
      <w:r>
        <w:t>La literatura sobre gobierno abierto, participación y rendición de cuentas ha mostrado que la legitimidad no depende únicamente de publicar información o cumplir procedimientos, sino de generar experiencias reconocibles de escucha, reciprocidad y responsabilidad pública. La dimensión ritual ayuda a explicar por qué algunas instancias participativas formalmente correctas producen desconfianza: pueden funcionar como rituales de consulta sin incidencia, donde la ciudadanía es invitada a presenciar una decisión ya tomada. En sentido contrario, rituales bien diseñados pueden transformar una interacción administrativa en experiencia de reconocimiento institucional, especialmente en servicios donde el Estado se encuentra cara a cara con personas afectadas por vulnerabilidad, conflicto o incertidumbre.</w:t>
      </w:r>
    </w:p>
    <w:p>
      <w:r>
        <w:t>En América Latina, esta cuestión adquiere especial relevancia porque la relación entre ciudadanía y Estado ha estado atravesada por desigualdad territorial, burocracias fragmentadas y desconfianza histórica. Un análisis ritual de la gestión pública permite estudiar cómo las instituciones intentan reparar, sostener o erosionar esa relación. Por ello, el modelo KANA-GP no debe entenderse como una herramienta de clima laboral ampliada, sino como una gramática para analizar cómo los símbolos institucionales median entre trabajo público, cultura organizacional y legitimidad democrática.</w:t>
      </w:r>
    </w:p>
    <w:p>
      <w:pPr>
        <w:pStyle w:val="Heading2"/>
      </w:pPr>
      <w:r>
        <w:t>3.7. Gestión pública, legitimidad y gobernanza organizacional</w:t>
      </w:r>
    </w:p>
    <w:p>
      <w:r>
        <w:t>La adaptación de KANA-GP también se fundamenta en debates contemporáneos de administración pública y teoría institucional. La legitimidad, entendida como percepción generalizada de que las acciones de una organización son apropiadas dentro de un sistema de normas y valores, permite conectar el ritual con la aceptación pública de la acción estatal (Suchman, 1995). A su vez, la literatura sobre burocracia de nivel de calle muestra que la legitimidad institucional se juega en interacciones concretas entre funcionarios y ciudadanía, donde los micro-ritos de atención, reconocimiento y cierre administrativo inciden en la experiencia del servicio (Lipsky, 1980). Desde la nueva gobernanza pública, las instituciones ya no producen valor sólo mediante jerarquías internas, sino a través de redes, co-producción y relaciones con usuarios y comunidades (Osborne, 2006; Pollitt y Bouckaert, 2017). Por ello, KANA-GP se ubica entre cultura organizacional, valor público y gobernanza simbólica: analiza cómo la organización pública produce sentido interno y, al mismo tiempo, comunica legitimidad hacia actores externos (Bryson et al., 2014; Hood, 1991; March y Olsen, 1989).</w:t>
      </w:r>
    </w:p>
    <w:p>
      <w:pPr>
        <w:pStyle w:val="Heading1"/>
      </w:pPr>
      <w:r>
        <w:t>4. Desarrollo argumentativo y contribución conceptual</w:t>
      </w:r>
    </w:p>
    <w:p>
      <w:pPr>
        <w:pStyle w:val="Heading2"/>
      </w:pPr>
      <w:r>
        <w:t>4.1. Funciones regulatorias y poder simbólico: síntesis crítica</w:t>
      </w:r>
    </w:p>
    <w:p>
      <w:r>
        <w:t>La revisión bibliográfica permite sostener que los rituales laborales cumplen cuatro funciones regulatorias fundamentales que actúan de manera simultánea y no siempre armónica. La función emocional se expresa en la capacidad de los rituales para contener ansiedad, elaborar pérdidas, celebrar logros y dar estructura a momentos de incertidumbre. La función performativa aparece cuando los rituales preparan a los actores para actuar, iniciar proyectos, cerrar etapas o asumir responsabilidades con identidad renovada. La función social se observa en la cohesión, la afiliación y la producción de memoria compartida. La función simbólico-política, destacada por Islam (2009, 2015), refiere a la distribución de poder, reconocimiento y exclusión que opera a través del diseño y la ejecución de los ritos.</w:t>
      </w:r>
    </w:p>
    <w:p>
      <w:r>
        <w:t>El principal resultado conceptual derivado de esta revisión es que la gestión pública latinoamericana necesita desarrollar una alfabetización ritual institucional: la capacidad para reconocer, diagnosticar y rediseñar reflexivamente sus prácticas simbólicas. Esta capacidad no busca teatralizar la gestión ni instrumentalizar la cultura, sino evitar que la infraestructura simbólica de las instituciones opere de manera inconsciente, reproduciendo asimetrías que ningún directivo ha diseñado explícitamente pero que todos contribuyen a mantener.</w:t>
      </w:r>
    </w:p>
    <w:p>
      <w:pPr>
        <w:pStyle w:val="Heading2"/>
      </w:pPr>
      <w:r>
        <w:t>4.2. Matriz conceptual KANA-GP para gestión pública</w:t>
      </w:r>
    </w:p>
    <w:p>
      <w:r>
        <w:t>La siguiente tabla presenta una síntesis conceptual derivada de la revisión bibliográfica. No contiene datos empíricos ni resultados de campo. Su función es operacionalizar las dimensiones del modelo KANA en el contexto de la gestión pública, articulando pregunta analítica, soporte bibliográfico e implicación para el diseño institucional.</w:t>
      </w:r>
    </w:p>
    <w:p>
      <w:r>
        <w:t>Nota: Matriz de elaboración conceptual propia. No contiene resultados empíricos. Fuente: síntesis propia a partir de la revisión bibliográfica.</w:t>
      </w:r>
    </w:p>
    <w:p>
      <w:r>
        <w:t>La articulación de las cuatro dimensiones muestra que el modelo KANA-GP no observa los rituales como actos aislados sino como nodos de una red de prácticas simbólicas. Un ritual puede ser fuerte en sentido pero débil en pertenencia; potente en valoración pero débil en legitimidad pública. Esta asimetría entre dimensiones es precisamente el tipo de diagnóstico que el modelo permite realizar y que orienta el rediseño ritual desde criterios de justicia organizacional.</w:t>
      </w:r>
    </w:p>
    <w:p>
      <w:r>
        <w:t>Tabla 3. Tipología conceptual de rituales aplicables a gestión pública</w:t>
      </w:r>
    </w:p>
    <w:p>
      <w:r>
        <w:t>Fuente: elaboración conceptual propia a partir de Trice y Beyer (1984), Islam (2009, 2015) y Moore (1995).</w:t>
      </w:r>
    </w:p>
    <w:p>
      <w:r>
        <w:t>Tabla 4. Uso conceptual de KANA-GP en problemas de política pública</w:t>
      </w:r>
    </w:p>
    <w:p>
      <w:r>
        <w:t>Fuente: elaboración conceptual propia. La tabla traduce el modelo a problemas de política y gestión pública; no contiene evidencia empírica.</w:t>
      </w:r>
    </w:p>
    <w:p>
      <w:r>
        <w:t>Esta tabla resume la contribución aplicada del modelo. KANA-GP no propone que toda práctica pública deba convertirse en ceremonia, ni que los rituales sustituyan a los mecanismos formales de planificación, evaluación o control. Su aporte consiste en mostrar que muchas fallas de implementación no son puramente técnicas: se producen cuando una reforma destruye marcos de sentido sin reemplazarlos, cuando una consulta pública convoca participación pero no genera incidencia, o cuando una institución celebra valores que su práctica cotidiana contradice. En esos casos, el análisis ritual permite detectar disonancias entre discurso, experiencia y legitimidad.</w:t>
      </w:r>
    </w:p>
    <w:p>
      <w:pPr>
        <w:pStyle w:val="Heading2"/>
      </w:pPr>
      <w:r>
        <w:t>4.3. Rituales, identidad y cambio organizacional</w:t>
      </w:r>
    </w:p>
    <w:p>
      <w:r>
        <w:t>Un hallazgo consistente de la revisión es que los rituales se vuelven más visibles —y más urgentes— durante procesos de cambio organizacional. Islam (2015) demuestra que las rupturas rituales generan crisis de sensemaking que revelan la profundidad de la función reguladora de los ritos. Los trabajadores no se resisten al cambio por irracionalidad: se resisten porque los rituales alterados sostenían identidades, vínculos y narrativas de pertenencia que la reforma no ha logrado sustituir.</w:t>
      </w:r>
    </w:p>
    <w:p>
      <w:r>
        <w:t>La pandemia y la expansión del trabajo remoto e híbrido constituyen el ejemplo más reciente y documentado de ruptura ritual masiva. Saludos, conversaciones espontáneas, almuerzos compartidos, ceremonias de reconocimiento presencial dejaron de operar cotidianamente. La virtualización puede garantizar continuidad operativa, pero no garantiza por sí misma pertenencia, valoración ni legitimidad. Para la gestión pública, las reformas de modernización del Estado que no contemplan una lectura ritual de los cambios que introducen enfrentarán resistencias que no podrán resolverse con mayor comunicación o capacitación técnica.</w:t>
      </w:r>
    </w:p>
    <w:p>
      <w:pPr>
        <w:pStyle w:val="Heading2"/>
      </w:pPr>
      <w:r>
        <w:t>4.4. Cultura latinoamericana, simbolismo de larga duración y colonialidad ritual</w:t>
      </w:r>
    </w:p>
    <w:p>
      <w:r>
        <w:t>La revisión muestra que los rituales organizacionales latinoamericanos no pueden comprenderse cabalmente sin atender a estructuras simbólicas de larga duración. Las tradiciones religiosas, comunitarias y territoriales que conviven con la burocracia formal son sistemas de sentido activos que los trabajadores movilizan para interpretar su experiencia laboral. En el norte de Chile, por ejemplo, los rituales de inicio de obra en minería —que incluyen ofrendas a la Pachamama y ceremonias de protección— articulan cosmovisiones andinas con prácticas laborales industriales, produciendo una cultura organizacional que ningún manual de gestión de recursos humanos captura.</w:t>
      </w:r>
    </w:p>
    <w:p>
      <w:r>
        <w:t>Ibarra-Colado (2006) ha argumentado que los estudios organizacionales latinoamericanos padecen una colonialidad epistémica: aplican marcos conceptuales producidos en contextos anglosajones o europeos sin interrogar su pertinencia local. El modelo KANA-GP busca explícitamente evitar esta trampa: su dimensión de legitimidad pública incorpora la pregunta por la coherencia entre el ritual institucional y las formas de sentido propias de cada territorio.</w:t>
      </w:r>
    </w:p>
    <w:p>
      <w:pPr>
        <w:pStyle w:val="Heading2"/>
      </w:pPr>
      <w:r>
        <w:t>4.5. Implicaciones para políticas de gestión pública</w:t>
      </w:r>
    </w:p>
    <w:p>
      <w:r>
        <w:t>Sin presentar resultados empíricos, la revisión permite derivar cinco implicaciones de diseño institucional fundamentadas en la literatura revisada y en la lógica del modelo KANA-GP:</w:t>
      </w:r>
    </w:p>
    <w:p>
      <w:r>
        <w:t>Mapeo ritual: Las instituciones públicas deberían desarrollar capacidad para identificar y documentar sus rituales actuales: cuáles existen, quiénes participan, qué emociones activan y qué jerarquías refuerzan o subvierten.</w:t>
      </w:r>
    </w:p>
    <w:p>
      <w:r>
        <w:t>Coherencia ética: Los rituales deben ser evaluados por su coherencia con la práctica institucional real. Una ceremonia de reconocimiento que premia visibilidad mediática en vez de contribución real produce cinismo y erosión de confianza.</w:t>
      </w:r>
    </w:p>
    <w:p>
      <w:r>
        <w:t>Inclusión activa: El diseño ritual debe incorporar mecanismos activos de inclusión que eviten reproducir fronteras jerárquicas, involucrando a funcionarios a honorarios, personal de soporte y trabajadores de atención directa a la ciudadanía.</w:t>
      </w:r>
    </w:p>
    <w:p>
      <w:r>
        <w:t>Acompañamiento del cambio: Las reformas organizacionales deben contemplar una dimensión de acompañamiento simbólico que reconozca lo que se cierra, nombre lo que se abre y ofrezca rituales de transición que sostengan sentido y pertenencia.</w:t>
      </w:r>
    </w:p>
    <w:p>
      <w:r>
        <w:t>Formación en cultura simbólica: Los equipos directivos necesitan formación básica para leer, diseñar y evaluar rituales como componentes institucionales que inciden en la legitimidad tanto como los procedimientos formales.</w:t>
      </w:r>
    </w:p>
    <w:p>
      <w:pPr>
        <w:pStyle w:val="Heading2"/>
      </w:pPr>
      <w:r>
        <w:t>4.6. Agenda de investigación empírica con KANA-GP</w:t>
      </w:r>
    </w:p>
    <w:p>
      <w:r>
        <w:t>El carácter bibliográfico de este artículo no agota el problema; lo delimita y prepara la investigación empírica siguiente. Se proponen cuatro pasos en una agenda progresiva. El primer paso consiste en desarrollar estudios de caso en instituciones públicas chilenas con rituales claramente identificables: municipios, hospitales, establecimientos educacionales o servicios centrales, combinando observación participante, entrevistas en profundidad y análisis documental. El segundo paso consiste en operacionalizar KANA-GP para investigación cualitativa: explorar sentido mediante preguntas sobre propósito y coherencia; pertenencia a través de inclusión percibida y vínculos con ciudadanía; valoración mediante reconocimiento percibido y justicia simbólica; legitimidad pública a través de transparencia y participación real. El tercer paso consiste en desarrollar tipologías rituales aplicadas al sector público: rituales de inicio, de paso, de cierre, de reconocimiento y de rendición de cuentas. El cuarto paso consiste en diseñar y validar instrumentos —primero guías de observación y protocolos de entrevista, luego eventualmente escalas cuantitativas— respetando la lógica de construcción inductiva del modelo.</w:t>
      </w:r>
    </w:p>
    <w:p>
      <w:r>
        <w:t>Figura 2. Ruta de construcción conceptual y agenda empírica futura.</w:t>
      </w:r>
    </w:p>
    <w:p>
      <w:r>
        <w:t>Fuente: elaboración conceptual propia. El artículo actual se ubica en las tres primeras fases; la validación empírica queda planteada como agenda posterior.</w:t>
      </w:r>
    </w:p>
    <w:p>
      <w:pPr>
        <w:pStyle w:val="Heading1"/>
      </w:pPr>
      <w:r>
        <w:t>5. Repercusiones para gestión y política pública</w:t>
      </w:r>
    </w:p>
    <w:p>
      <w:r>
        <w:t>El modelo KANA-GP realiza una contribución teórica que puede resumirse en tres operaciones. La primera es la integración: articula perspectivas que suelen operar en paralelo —la psicología del ritual, la crítica organizacional, los estudios latinoamericanos, la teoría del valor público— en un marco analítico unitario y coherente. La segunda es la especificación: al agregar la dimensión de legitimidad pública, el modelo distingue el análisis ritual en gestión pública del análisis en otros contextos organizacionales, evitando la aplicación acrítica de marcos empresariales al sector estatal. La tercera es la apertura: al presentarse como gramática interpretativa y no como escala cerrada, el modelo puede ser enriquecido por investigaciones empíricas futuras sin perder su coherencia conceptual central. Esta forma de presentación se ajusta mejor a un artículo de gestión y política pública porque desplaza la pregunta desde la cultura interna hacia la capacidad institucional de producir valor público, confianza y rendición simbólica de cuentas.</w:t>
      </w:r>
    </w:p>
    <w:p>
      <w:r>
        <w:t>La incorporación de la perspectiva de Islam es especialmente importante para la credibilidad académica del modelo. Sin esa perspectiva crítica, KANA-GP correría el riesgo de convertirse en una herramienta de gestión cultural de corte funcionalista. Con Islam, el modelo incorpora la pregunta por exclusión, distinción y legitimidad como condición permanente de análisis, lo que lo hace apropiado para el campo de la gestión pública democrática, donde esas preguntas son constitutivas y no opcionales.</w:t>
      </w:r>
    </w:p>
    <w:p>
      <w:r>
        <w:t>Una lectura ritual de la gestión pública también permite revisar críticamente la noción de participación. No toda instancia participativa produce deliberación efectiva; algunas operan como rituales de consulta sin incidencia, donde la ciudadanía es invitada a presenciar decisiones ya tomadas. KANA-GP ofrece preguntas para distinguir entre rituales participativos de alta densidad democrática y rituales participativos de baja incidencia: quién define el problema, quién puede hablar, qué se registra, qué compromisos quedan formalizados y cómo se informa posteriormente el resultado.</w:t>
      </w:r>
    </w:p>
    <w:p>
      <w:r>
        <w:t>Las limitaciones del artículo han sido declaradas desde la introducción: la principal es la ausencia de datos empíricos propios. El modelo no ha sido aplicado en campo, sus dimensiones no han sido validadas mediante investigación primaria y sus implicaciones son analíticamente plausibles pero no empíricamente probadas. El manuscrito se ubica en el género de revisión conceptual orientada a políticas públicas, y su valor reside en construir un puente entre estudios organizacionales críticos y problemas de gestión estatal vinculados con legitimidad, confianza y reconocimiento institucional.</w:t>
      </w:r>
    </w:p>
    <w:p>
      <w:r>
        <w:t>La utilidad del modelo también depende de mantener una frontera metodológica clara entre propuesta conceptual y validación empírica. En su estado actual, KANA-GP no autoriza afirmaciones sobre efectos causales, magnitud de impacto ni diferencias entre instituciones. Lo que sí permite es construir hipótesis mejor formuladas para investigaciones futuras. Por ejemplo, permite preguntar si los rituales de reconocimiento aumentan legitimidad interna cuando incluyen contribuciones invisibles; si los rituales de rendición de cuentas reducen cinismo cuando producen compromisos observables; o si las reformas digitales deterioran pertenencia cuando reemplazan encuentros significativos por comunicaciones meramente informativas.</w:t>
      </w:r>
    </w:p>
    <w:p>
      <w:r>
        <w:t>Esta cautela metodológica es relevante para el ámbito editorial, porque evita presentar el modelo como instrumento validado antes de tiempo. El artículo se ubica en un momento anterior: define el problema, organiza la literatura y propone categorías. Su siguiente fase deberá consistir en contrastar estas categorías con casos institucionales concretos mediante observación, entrevistas y análisis documental. Sólo después de esa etapa tendría sentido diseñar escalas o instrumentos cuantitativos. Así, el manuscrito mantiene integridad académica y ofrece una hoja de ruta verificable.</w:t>
      </w:r>
    </w:p>
    <w:p>
      <w:r>
        <w:t>Un elemento adicional de la contribución es que KANA-GP permite articular tres niveles que la literatura suele tratar por separado. En el nivel micro, observa la experiencia subjetiva de los funcionarios: emociones, identidad profesional, reconocimiento y pérdida de sentido. En el nivel meso, analiza cómo los equipos y unidades institucionales producen pertenencia mediante rutinas, ceremonias y narrativas compartidas. En el nivel macro, pregunta cómo esas prácticas se conectan con legitimidad pública, confianza ciudadana y valor público. Esta articulación multinivel resulta especialmente relevante para la gestión pública, porque los problemas institucionales rara vez se explican por una sola escala de análisis. Una reforma puede estar bien diseñada normativamente, pero fracasar en la práctica si altera ritos cotidianos que sostenían cooperación informal; una política de participación puede cumplir los requisitos formales, pero no generar legitimidad si los participantes perciben que el ritual deliberativo no tiene efectos reales; una ceremonia de reconocimiento puede fortalecer a un equipo y al mismo tiempo profundizar exclusiones si deja fuera a quienes realizan tareas invisibles.</w:t>
      </w:r>
    </w:p>
    <w:p>
      <w:r>
        <w:t>El modelo también aporta una forma de leer la dimensión simbólica sin reducirla a comunicación institucional. No todo símbolo es publicidad, y no todo ritual es una estrategia de imagen. En la administración pública, muchos rituales emergen de prácticas cotidianas no diseñadas por autoridades: formas de saludar, modos de recibir a un usuario, rutinas de cierre de jornada, homenajes informales o gestos de cuidado entre pares. Estos micro-ritos producen cultura institucional de manera acumulativa y pueden ser tan relevantes como las ceremonias oficiales. La investigación futura debería, por tanto, observar tanto los rituales formalizados como los rituales ordinarios que estructuran la vida diaria de los servicios públicos.</w:t>
      </w:r>
    </w:p>
    <w:p>
      <w:r>
        <w:t>Finalmente, la propuesta contribuye a desplazar la conversación desde la mera modernización procedimental hacia una modernización culturalmente situada. Las reformas digitales, los sistemas de gestión por desempeño y las políticas de transparencia son necesarias, pero insuficientes si no reconstruyen los marcos de sentido que orientan la acción pública. KANA-GP ofrece preguntas para ese proceso: qué se pierde simbólicamente cuando una práctica se automatiza; qué formas de pertenencia se debilitan cuando se reemplazan encuentros presenciales por plataformas; qué tipo de reconocimiento queda disponible cuando la evaluación institucional sólo premia indicadores cuantificables. Estas preguntas permiten que la gestión pública incorpore la dimensión simbólica sin renunciar al rigor analítico.</w:t>
      </w:r>
    </w:p>
    <w:p>
      <w:pPr>
        <w:pStyle w:val="Heading1"/>
      </w:pPr>
      <w:r>
        <w:t>6. Conclusiones</w:t>
      </w:r>
    </w:p>
    <w:p>
      <w:r>
        <w:t>Este artículo ha sostenido tres argumentos centrales. Primero, que los rituales organizacionales son mecanismos de alta densidad simbólica que regulan emociones, desempeño, cohesión social y poder, y que su comprensión requiere integrar perspectivas funcionales y críticas. Segundo, que las dimensiones intrapersonal e interpersonal del significado del trabajo constituyen dos planos analíticos diferenciados que los rituales articulan. Tercero, que el modelo KANA-GP representa una propuesta conceptual rigurosa para observar sentido, pertenencia, valoración y legitimidad pública en rituales organizacionales, con aplicación específica al campo de la gestión pública latinoamericana.</w:t>
      </w:r>
    </w:p>
    <w:p>
      <w:r>
        <w:t>La contribución del modelo no reside en su completitud empírica —que aún está por construir— sino en su capacidad para articular preguntas que la gestión pública habitualmente no se hace: ¿qué símbolos sostienen nuestra identidad institucional?, ¿a quiénes incluyen y a quiénes excluyen nuestras ceremonias?, ¿qué trabajo reconocemos y qué trabajo invisibilizamos?, ¿nuestros rituales fortalecen o debilitan la confianza ciudadana? Si los rituales ordenan el reconocimiento interno y comunican la identidad estatal hacia la ciudadanía, entonces también forman parte de la infraestructura invisible de la gobernanza.</w:t>
      </w:r>
    </w:p>
    <w:p>
      <w:r>
        <w:t>Las futuras investigaciones deberán validar empíricamente las dimensiones del modelo mediante estudios de caso, observación etnográfica, análisis narrativo e instrumentos cualitativos diseñados inductivamente, siguiendo la agenda propuesta en la sección 4.6. El objetivo final no es reemplazar los enfoques de clima, bienestar o gestión cultural, sino agregar una perspectiva simbólica que haga visible lo que aquellos enfoques suelen presuponer: que las organizaciones son también comunidades rituales, y que gobernar una institución pública es, entre otras cosas, gobernar los símbolos con los que esa institución se narra a sí misma y ante la ciudadanía.</w:t>
      </w:r>
    </w:p>
    <w:p>
      <w:r>
        <w:t>En términos de contribución editorial, el artículo ofrece un punto de entrada poco explorado para la investigación en gestión pública: la dimensión ritual de la legitimidad. La mayor parte de la literatura sobre administración pública analiza capacidades, diseño institucional, desempeño, transparencia o participación, pero rara vez pregunta por la infraestructura simbólica que permite que esas prácticas sean reconocidas como legítimas. KANA-GP sitúa esa infraestructura en el centro del análisis y propone observarla sin perder de vista las relaciones de poder que la atraviesan.</w:t>
      </w:r>
    </w:p>
    <w:p>
      <w:r>
        <w:t>El cierre principal es, por tanto, programático. Este manuscrito no pretende resolver empíricamente la relación entre rituales y legitimidad pública; pretende mostrar por qué esa relación merece ser investigada con herramientas específicas. Su aporte es abrir un campo de preguntas y proponer una matriz inicial para abordarlas. Si las instituciones públicas latinoamericanas necesitan recuperar confianza, sostener sentido laboral y fortalecer vínculos con la ciudadanía, entonces la pregunta por sus rituales no es periférica: es una pregunta sobre cómo se produce, comunica y disputa la legitimidad del Estado en la vida cotidiana.</w:t>
      </w:r>
    </w:p>
    <w:p>
      <w:pPr>
        <w:pStyle w:val="Heading1"/>
      </w:pPr>
      <w:r>
        <w:t>Declaración de conflicto de intereses</w:t>
      </w:r>
    </w:p>
    <w:p>
      <w:r>
        <w:t>El autor declara no tener conflicto de intereses en relación con la investigación, autoría o publicación de este artículo.</w:t>
      </w:r>
    </w:p>
    <w:p>
      <w:pPr>
        <w:pStyle w:val="Heading1"/>
      </w:pPr>
      <w:r>
        <w:t>Financiamiento</w:t>
      </w:r>
    </w:p>
    <w:p>
      <w:r>
        <w:t>Este trabajo no contó con financiamiento externo.</w:t>
      </w:r>
    </w:p>
    <w:p>
      <w:pPr>
        <w:pStyle w:val="Heading1"/>
      </w:pPr>
      <w:r>
        <w:t>Contribución propia</w:t>
      </w:r>
    </w:p>
    <w:p>
      <w:r>
        <w:t>Roberto Pizarro Díaz: conceptualización del modelo KANA-GP, revisión bibliográfica, análisis documental, análisis hermenéutico, elaboración de la matriz conceptual, redacción del borrador original, revisión y edición final.</w:t>
      </w:r>
    </w:p>
    <w:p>
      <w:pPr>
        <w:pStyle w:val="Heading1"/>
      </w:pPr>
      <w:r>
        <w:t>Declaración de uso de inteligencia artificial</w:t>
      </w:r>
    </w:p>
    <w:p>
      <w:r>
        <w:t>En la elaboración de este manuscrito se utilizaron herramientas de inteligencia artificial como apoyo editorial —principalmente Perplexity AI (Sonnet 4.6, mayo de 2026) y ChatGPT— para organización de borradores intermedios, revisión de coherencia argumentativa y control editorial de formato. No se utilizó inteligencia artificial para generar datos, simular resultados empíricos, fabricar referencias bibliográficas ni sustituir el razonamiento teórico del autor. Todo el contenido conceptual, el desarrollo del modelo KANA-GP, las decisiones argumentales y la responsabilidad intelectual corresponden íntegramente a la autoría humana.</w:t>
      </w:r>
    </w:p>
    <w:p>
      <w:pPr>
        <w:pStyle w:val="Heading1"/>
      </w:pPr>
      <w:r>
        <w:t>Declaraciones</w:t>
      </w:r>
    </w:p>
    <w:p>
      <w:r>
        <w:t>Financiamiento: No se declara financiamiento externo específico para esta versión del manuscrito.</w:t>
      </w:r>
    </w:p>
    <w:p>
      <w:r>
        <w:t>Conflictos de interés: El autor declara no tener conflictos de interés.</w:t>
      </w:r>
    </w:p>
    <w:p>
      <w:r>
        <w:t>Disponibilidad de datos y código: El paquete de investigación y los archivos de soporte están disponibles en: https://github.com/Shinken009/kana-gp-organizational-rituals. Este es un artículo conceptual y documental; no contiene datos empíricos, resultados estadísticos ni conjuntos de datos originales.</w:t>
      </w:r>
    </w:p>
    <w:p>
      <w:pPr>
        <w:pStyle w:val="Heading1"/>
      </w:pPr>
      <w:r>
        <w:t>Referencias</w:t>
      </w:r>
    </w:p>
    <w:p>
      <w:r>
        <w:t>Bourdieu, P. (1977). Outline of a theory of practice. Cambridge University Press.</w:t>
      </w:r>
    </w:p>
    <w:p>
      <w:r>
        <w:t>Bozeman, B. (2007). Public values and public interest: Counterbalancing economic individualism. Georgetown University Press.</w:t>
      </w:r>
    </w:p>
    <w:p>
      <w:r>
        <w:t>Braun, V., y Clarke, V. (2006). Using thematic analysis in psychology. Qualitative Research in Psychology, 3(2), 77–101. https://doi.org/10.1191/1478088706qp063oa</w:t>
      </w:r>
    </w:p>
    <w:p>
      <w:r>
        <w:t>Bryson, J. M., Crosby, B. C., y Bloomberg, L. (2014). Public value governance: Moving beyond traditional public administration and the New Public Management. Public Administration Review, 74(4), 445–456. https://doi.org/10.1111/puar.12238</w:t>
      </w:r>
    </w:p>
    <w:p>
      <w:r>
        <w:t>Durkheim, É. (1995). The elementary forms of religious life (K. E. Fields, Trad.). Free Press. (Obra original publicada en 1912)</w:t>
      </w:r>
    </w:p>
    <w:p>
      <w:r>
        <w:t>Foucault, M. (1975). Surveiller et punir: Naissance de la prison. Gallimard.</w:t>
      </w:r>
    </w:p>
    <w:p>
      <w:r>
        <w:t>Geertz, C. (1973). The interpretation of cultures. Basic Books.</w:t>
      </w:r>
    </w:p>
    <w:p>
      <w:r>
        <w:t>Goffman, E. (1959). The presentation of self in everyday life. Anchor Books.</w:t>
      </w:r>
    </w:p>
    <w:p>
      <w:r>
        <w:t>Hobson, N. M., Schroeder, J., Risen, J. L., Xygalatas, D., e Inzlicht, M. (2018). The psychology of rituals: An integrative review and process-based framework. Personality and Social Psychology Review, 22(3), 260–284. https://doi.org/10.1177/1088868317734944</w:t>
      </w:r>
    </w:p>
    <w:p>
      <w:r>
        <w:t>Hood, C. (1991). A public management for all seasons? Public Administration, 69(1), 3–19. https://doi.org/10.1111/j.1467-9299.1991.tb00779.x</w:t>
      </w:r>
    </w:p>
    <w:p>
      <w:r>
        <w:t>Ibarra-Colado, E. (2006). Organization studies and epistemic coloniality in Latin America: Thinking otherness from the margins. Organization, 13(4), 463–488.</w:t>
      </w:r>
    </w:p>
    <w:p>
      <w:r>
        <w:t>Islam, G. (2009). Rituals in organizations. En S. R. Clegg y J. R. Bailey (Eds.), International encyclopedia of organization studies (Vol. 4, pp. 1342–1346). SAGE.</w:t>
      </w:r>
    </w:p>
    <w:p>
      <w:r>
        <w:t>Islam, G. (2014). Identities, rituals and hierarchies in organizational life: Challenging dominant cultural myths. Journal of Organizational Behavior, 35(S1), S69–S88.</w:t>
      </w:r>
    </w:p>
    <w:p>
      <w:r>
        <w:t>Islam, G. (2015). Organizational ritual, rupture and repetition: Sensemaking and legitimation during organizational change. Culture and Organization, 21(4), 295–314.</w:t>
      </w:r>
    </w:p>
    <w:p>
      <w:r>
        <w:t>Leary, M. R., y Kowalski, R. M. (1990). Impression management: A literature review and two-component model. Psychological Bulletin, 107(1), 34–47.</w:t>
      </w:r>
    </w:p>
    <w:p>
      <w:r>
        <w:t>Lipsky, M. (1980). Street-level bureaucracy: Dilemmas of the individual in public services. Russell Sage Foundation.</w:t>
      </w:r>
    </w:p>
    <w:p>
      <w:r>
        <w:t>March, J. G., y Olsen, J. P. (1989). Rediscovering institutions: The organizational basis of politics. Free Press.</w:t>
      </w:r>
    </w:p>
    <w:p>
      <w:r>
        <w:t>Moore, M. H. (1995). Creating public value: Strategic management in government. Harvard University Press.</w:t>
      </w:r>
    </w:p>
    <w:p>
      <w:r>
        <w:t>Osborne, S. P. (2006). The New Public Governance? Public Management Review, 8(3), 377–387. https://doi.org/10.1080/14719030600853022</w:t>
      </w:r>
    </w:p>
    <w:p>
      <w:r>
        <w:t>Pollitt, C., y Bouckaert, G. (2017). Public management reform: A comparative analysis — Into the age of austerity (4.ª ed.). Oxford University Press.</w:t>
      </w:r>
    </w:p>
    <w:p>
      <w:r>
        <w:t>Ricoeur, P. (1990). Soi-même comme un autre. Seuil.</w:t>
      </w:r>
    </w:p>
    <w:p>
      <w:r>
        <w:t>Schein, E. H. (2010). Organizational culture and leadership (4.ª ed.). Jossey-Bass.</w:t>
      </w:r>
    </w:p>
    <w:p>
      <w:r>
        <w:t>Suchman, M. C. (1995). Managing legitimacy: Strategic and institutional approaches. Academy of Management Review, 20(3), 571–610. https://doi.org/10.5465/amr.1995.9508080331</w:t>
      </w:r>
    </w:p>
    <w:p>
      <w:r>
        <w:t>Trice, H. M., y Beyer, J. M. (1984). Studying organizational cultures through rites and ceremonials. Academy of Management Review, 9(4), 653–669.</w:t>
      </w:r>
    </w:p>
    <w:p>
      <w:r>
        <w:t>Turner, V. (1967). The forest of symbols: Aspects of Ndembu ritual. Cornell University Press.</w:t>
      </w:r>
    </w:p>
    <w:p>
      <w:r>
        <w:t>Turner, V. (1969). The ritual process: Structure and anti-structure. Aldine.</w:t>
      </w:r>
    </w:p>
    <w:p>
      <w:r>
        <w:t>Van Gennep, A. (1960). The rites of passage. University of Chicago Press. (Obra original publicada en 1909)</w:t>
      </w:r>
    </w:p>
    <w:p>
      <w:r>
        <w:t>Weick, K. E. (1995). Sensemaking in organizations. SAGE.</w:t>
      </w:r>
    </w:p>
    <w:p>
      <w:pPr>
        <w:pStyle w:val="Heading1"/>
      </w:pPr>
      <w:r>
        <w:t>Tablas extraídas del manuscrito</w:t>
      </w:r>
    </w:p>
    <w:p>
      <w:pPr>
        <w:pStyle w:val="Heading2"/>
      </w:pPr>
      <w:r>
        <w:t>Tabla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Familia conceptual</w:t>
            </w:r>
          </w:p>
        </w:tc>
        <w:tc>
          <w:tcPr>
            <w:tcW w:type="dxa" w:w="2880"/>
          </w:tcPr>
          <w:p>
            <w:r>
              <w:rPr>
                <w:b/>
                <w:sz w:val="20"/>
              </w:rPr>
              <w:t>Pregunta de lectura</w:t>
            </w:r>
          </w:p>
        </w:tc>
        <w:tc>
          <w:tcPr>
            <w:tcW w:type="dxa" w:w="2880"/>
          </w:tcPr>
          <w:p>
            <w:r>
              <w:rPr>
                <w:b/>
                <w:sz w:val="20"/>
              </w:rPr>
              <w:t>Uso en KANA-GP</w:t>
            </w:r>
          </w:p>
        </w:tc>
      </w:tr>
      <w:tr>
        <w:tc>
          <w:tcPr>
            <w:tcW w:type="dxa" w:w="2880"/>
          </w:tcPr>
          <w:p>
            <w:r>
              <w:rPr>
                <w:sz w:val="20"/>
              </w:rPr>
              <w:t>Rituales organizacionales</w:t>
            </w:r>
          </w:p>
        </w:tc>
        <w:tc>
          <w:tcPr>
            <w:tcW w:type="dxa" w:w="2880"/>
          </w:tcPr>
          <w:p>
            <w:r>
              <w:rPr>
                <w:sz w:val="20"/>
              </w:rPr>
              <w:t>¿Qué función simbólica cumple el rito?</w:t>
            </w:r>
          </w:p>
        </w:tc>
        <w:tc>
          <w:tcPr>
            <w:tcW w:type="dxa" w:w="2880"/>
          </w:tcPr>
          <w:p>
            <w:r>
              <w:rPr>
                <w:sz w:val="20"/>
              </w:rPr>
              <w:t>Delimitar funciones regulatorias y performativas</w:t>
            </w:r>
          </w:p>
        </w:tc>
      </w:tr>
      <w:tr>
        <w:tc>
          <w:tcPr>
            <w:tcW w:type="dxa" w:w="2880"/>
          </w:tcPr>
          <w:p>
            <w:r>
              <w:rPr>
                <w:sz w:val="20"/>
              </w:rPr>
              <w:t>Poder simbólico y estudios críticos</w:t>
            </w:r>
          </w:p>
        </w:tc>
        <w:tc>
          <w:tcPr>
            <w:tcW w:type="dxa" w:w="2880"/>
          </w:tcPr>
          <w:p>
            <w:r>
              <w:rPr>
                <w:sz w:val="20"/>
              </w:rPr>
              <w:t>¿Qué jerarquías reproduce o disputa?</w:t>
            </w:r>
          </w:p>
        </w:tc>
        <w:tc>
          <w:tcPr>
            <w:tcW w:type="dxa" w:w="2880"/>
          </w:tcPr>
          <w:p>
            <w:r>
              <w:rPr>
                <w:sz w:val="20"/>
              </w:rPr>
              <w:t>Incorporar exclusión, reconocimiento y legitimidad</w:t>
            </w:r>
          </w:p>
        </w:tc>
      </w:tr>
      <w:tr>
        <w:tc>
          <w:tcPr>
            <w:tcW w:type="dxa" w:w="2880"/>
          </w:tcPr>
          <w:p>
            <w:r>
              <w:rPr>
                <w:sz w:val="20"/>
              </w:rPr>
              <w:t>Gestión pública y valor público</w:t>
            </w:r>
          </w:p>
        </w:tc>
        <w:tc>
          <w:tcPr>
            <w:tcW w:type="dxa" w:w="2880"/>
          </w:tcPr>
          <w:p>
            <w:r>
              <w:rPr>
                <w:sz w:val="20"/>
              </w:rPr>
              <w:t>¿Cómo conecta con ciudadanía y bien común?</w:t>
            </w:r>
          </w:p>
        </w:tc>
        <w:tc>
          <w:tcPr>
            <w:tcW w:type="dxa" w:w="2880"/>
          </w:tcPr>
          <w:p>
            <w:r>
              <w:rPr>
                <w:sz w:val="20"/>
              </w:rPr>
              <w:t>Traducir el ritual a legitimidad pública</w:t>
            </w:r>
          </w:p>
        </w:tc>
      </w:tr>
      <w:tr>
        <w:tc>
          <w:tcPr>
            <w:tcW w:type="dxa" w:w="2880"/>
          </w:tcPr>
          <w:p>
            <w:r>
              <w:rPr>
                <w:sz w:val="20"/>
              </w:rPr>
              <w:t>Cultura latinoamericana</w:t>
            </w:r>
          </w:p>
        </w:tc>
        <w:tc>
          <w:tcPr>
            <w:tcW w:type="dxa" w:w="2880"/>
          </w:tcPr>
          <w:p>
            <w:r>
              <w:rPr>
                <w:sz w:val="20"/>
              </w:rPr>
              <w:t>¿Qué saberes locales quedan visibles o invisibles?</w:t>
            </w:r>
          </w:p>
        </w:tc>
        <w:tc>
          <w:tcPr>
            <w:tcW w:type="dxa" w:w="2880"/>
          </w:tcPr>
          <w:p>
            <w:r>
              <w:rPr>
                <w:sz w:val="20"/>
              </w:rPr>
              <w:t>Evitar aplicación acrítica de modelos del norte global</w:t>
            </w:r>
          </w:p>
        </w:tc>
      </w:tr>
      <w:tr>
        <w:tc>
          <w:tcPr>
            <w:tcW w:type="dxa" w:w="2880"/>
          </w:tcPr>
          <w:p>
            <w:r>
              <w:rPr>
                <w:sz w:val="20"/>
              </w:rPr>
              <w:t>Cambio organizacional</w:t>
            </w:r>
          </w:p>
        </w:tc>
        <w:tc>
          <w:tcPr>
            <w:tcW w:type="dxa" w:w="2880"/>
          </w:tcPr>
          <w:p>
            <w:r>
              <w:rPr>
                <w:sz w:val="20"/>
              </w:rPr>
              <w:t>¿Qué rupturas rituales alteran sentido y pertenencia?</w:t>
            </w:r>
          </w:p>
        </w:tc>
        <w:tc>
          <w:tcPr>
            <w:tcW w:type="dxa" w:w="2880"/>
          </w:tcPr>
          <w:p>
            <w:r>
              <w:rPr>
                <w:sz w:val="20"/>
              </w:rPr>
              <w:t>Formular una agenda empírica posterior</w:t>
            </w:r>
          </w:p>
        </w:tc>
      </w:tr>
    </w:tbl>
    <w:p>
      <w:pPr>
        <w:pStyle w:val="Heading2"/>
      </w:pPr>
      <w:r>
        <w:t>Tabla 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Dimensión KANA-GP</w:t>
            </w:r>
          </w:p>
        </w:tc>
        <w:tc>
          <w:tcPr>
            <w:tcW w:type="dxa" w:w="2160"/>
          </w:tcPr>
          <w:p>
            <w:r>
              <w:rPr>
                <w:b/>
                <w:sz w:val="20"/>
              </w:rPr>
              <w:t>Pregunta analítica central</w:t>
            </w:r>
          </w:p>
        </w:tc>
        <w:tc>
          <w:tcPr>
            <w:tcW w:type="dxa" w:w="2160"/>
          </w:tcPr>
          <w:p>
            <w:r>
              <w:rPr>
                <w:b/>
                <w:sz w:val="20"/>
              </w:rPr>
              <w:t>Soporte bibliográfico</w:t>
            </w:r>
          </w:p>
        </w:tc>
        <w:tc>
          <w:tcPr>
            <w:tcW w:type="dxa" w:w="2160"/>
          </w:tcPr>
          <w:p>
            <w:r>
              <w:rPr>
                <w:b/>
                <w:sz w:val="20"/>
              </w:rPr>
              <w:t>Implicación para gestión pública</w:t>
            </w:r>
          </w:p>
        </w:tc>
      </w:tr>
      <w:tr>
        <w:tc>
          <w:tcPr>
            <w:tcW w:type="dxa" w:w="2160"/>
          </w:tcPr>
          <w:p>
            <w:r>
              <w:rPr>
                <w:sz w:val="20"/>
              </w:rPr>
              <w:t>Sentido</w:t>
            </w:r>
          </w:p>
        </w:tc>
        <w:tc>
          <w:tcPr>
            <w:tcW w:type="dxa" w:w="2160"/>
          </w:tcPr>
          <w:p>
            <w:r>
              <w:rPr>
                <w:sz w:val="20"/>
              </w:rPr>
              <w:t>¿Qué propósito público hace visible el ritual?</w:t>
            </w:r>
          </w:p>
        </w:tc>
        <w:tc>
          <w:tcPr>
            <w:tcW w:type="dxa" w:w="2160"/>
          </w:tcPr>
          <w:p>
            <w:r>
              <w:rPr>
                <w:sz w:val="20"/>
              </w:rPr>
              <w:t>Weick (1995); Hobson et al. (2018); Geertz (1973)</w:t>
            </w:r>
          </w:p>
        </w:tc>
        <w:tc>
          <w:tcPr>
            <w:tcW w:type="dxa" w:w="2160"/>
          </w:tcPr>
          <w:p>
            <w:r>
              <w:rPr>
                <w:sz w:val="20"/>
              </w:rPr>
              <w:t>Diseñar actos que conecten tareas cotidianas con la misión del servicio público</w:t>
            </w:r>
          </w:p>
        </w:tc>
      </w:tr>
      <w:tr>
        <w:tc>
          <w:tcPr>
            <w:tcW w:type="dxa" w:w="2160"/>
          </w:tcPr>
          <w:p>
            <w:r>
              <w:rPr>
                <w:sz w:val="20"/>
              </w:rPr>
              <w:t>Pertenencia</w:t>
            </w:r>
          </w:p>
        </w:tc>
        <w:tc>
          <w:tcPr>
            <w:tcW w:type="dxa" w:w="2160"/>
          </w:tcPr>
          <w:p>
            <w:r>
              <w:rPr>
                <w:sz w:val="20"/>
              </w:rPr>
              <w:t>¿Quién queda incluido o excluido del ritual?</w:t>
            </w:r>
          </w:p>
        </w:tc>
        <w:tc>
          <w:tcPr>
            <w:tcW w:type="dxa" w:w="2160"/>
          </w:tcPr>
          <w:p>
            <w:r>
              <w:rPr>
                <w:sz w:val="20"/>
              </w:rPr>
              <w:t>Turner (1967); Goffman (1959); Bourdieu (1977)</w:t>
            </w:r>
          </w:p>
        </w:tc>
        <w:tc>
          <w:tcPr>
            <w:tcW w:type="dxa" w:w="2160"/>
          </w:tcPr>
          <w:p>
            <w:r>
              <w:rPr>
                <w:sz w:val="20"/>
              </w:rPr>
              <w:t>Ampliar participación; evitar ceremonias que excluyan actores clave</w:t>
            </w:r>
          </w:p>
        </w:tc>
      </w:tr>
      <w:tr>
        <w:tc>
          <w:tcPr>
            <w:tcW w:type="dxa" w:w="2160"/>
          </w:tcPr>
          <w:p>
            <w:r>
              <w:rPr>
                <w:sz w:val="20"/>
              </w:rPr>
              <w:t>Valoración</w:t>
            </w:r>
          </w:p>
        </w:tc>
        <w:tc>
          <w:tcPr>
            <w:tcW w:type="dxa" w:w="2160"/>
          </w:tcPr>
          <w:p>
            <w:r>
              <w:rPr>
                <w:sz w:val="20"/>
              </w:rPr>
              <w:t>¿Qué contribuciones reciben reconocimiento y cuáles quedan invisibles?</w:t>
            </w:r>
          </w:p>
        </w:tc>
        <w:tc>
          <w:tcPr>
            <w:tcW w:type="dxa" w:w="2160"/>
          </w:tcPr>
          <w:p>
            <w:r>
              <w:rPr>
                <w:sz w:val="20"/>
              </w:rPr>
              <w:t>Islam (2009, 2014); Trice y Beyer (1984)</w:t>
            </w:r>
          </w:p>
        </w:tc>
        <w:tc>
          <w:tcPr>
            <w:tcW w:type="dxa" w:w="2160"/>
          </w:tcPr>
          <w:p>
            <w:r>
              <w:rPr>
                <w:sz w:val="20"/>
              </w:rPr>
              <w:t>Reconocer trabajo invisible: cuidado emocional, soporte administrativo, coordinación</w:t>
            </w:r>
          </w:p>
        </w:tc>
      </w:tr>
      <w:tr>
        <w:tc>
          <w:tcPr>
            <w:tcW w:type="dxa" w:w="2160"/>
          </w:tcPr>
          <w:p>
            <w:r>
              <w:rPr>
                <w:sz w:val="20"/>
              </w:rPr>
              <w:t>Legitimidad pública</w:t>
            </w:r>
          </w:p>
        </w:tc>
        <w:tc>
          <w:tcPr>
            <w:tcW w:type="dxa" w:w="2160"/>
          </w:tcPr>
          <w:p>
            <w:r>
              <w:rPr>
                <w:sz w:val="20"/>
              </w:rPr>
              <w:t>¿Cómo articula el ritual a institución, funcionarios y ciudadanía?</w:t>
            </w:r>
          </w:p>
        </w:tc>
        <w:tc>
          <w:tcPr>
            <w:tcW w:type="dxa" w:w="2160"/>
          </w:tcPr>
          <w:p>
            <w:r>
              <w:rPr>
                <w:sz w:val="20"/>
              </w:rPr>
              <w:t>Moore (1995); Islam (2015); Ibarra-Colado (2006)</w:t>
            </w:r>
          </w:p>
        </w:tc>
        <w:tc>
          <w:tcPr>
            <w:tcW w:type="dxa" w:w="2160"/>
          </w:tcPr>
          <w:p>
            <w:r>
              <w:rPr>
                <w:sz w:val="20"/>
              </w:rPr>
              <w:t>Evaluar coherencia entre ceremonia, transparencia y práctica real cotidiana</w:t>
            </w:r>
          </w:p>
        </w:tc>
      </w:tr>
    </w:tbl>
    <w:p>
      <w:pPr>
        <w:pStyle w:val="Heading2"/>
      </w:pPr>
      <w:r>
        <w:t>Tabla 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Tipo de ritual</w:t>
            </w:r>
          </w:p>
        </w:tc>
        <w:tc>
          <w:tcPr>
            <w:tcW w:type="dxa" w:w="2160"/>
          </w:tcPr>
          <w:p>
            <w:r>
              <w:rPr>
                <w:b/>
                <w:sz w:val="20"/>
              </w:rPr>
              <w:t>Función institucional</w:t>
            </w:r>
          </w:p>
        </w:tc>
        <w:tc>
          <w:tcPr>
            <w:tcW w:type="dxa" w:w="2160"/>
          </w:tcPr>
          <w:p>
            <w:r>
              <w:rPr>
                <w:b/>
                <w:sz w:val="20"/>
              </w:rPr>
              <w:t>Riesgo crítico</w:t>
            </w:r>
          </w:p>
        </w:tc>
        <w:tc>
          <w:tcPr>
            <w:tcW w:type="dxa" w:w="2160"/>
          </w:tcPr>
          <w:p>
            <w:r>
              <w:rPr>
                <w:b/>
                <w:sz w:val="20"/>
              </w:rPr>
              <w:t>Pregunta KANA-GP</w:t>
            </w:r>
          </w:p>
        </w:tc>
      </w:tr>
      <w:tr>
        <w:tc>
          <w:tcPr>
            <w:tcW w:type="dxa" w:w="2160"/>
          </w:tcPr>
          <w:p>
            <w:r>
              <w:rPr>
                <w:sz w:val="20"/>
              </w:rPr>
              <w:t>Inicio</w:t>
            </w:r>
          </w:p>
        </w:tc>
        <w:tc>
          <w:tcPr>
            <w:tcW w:type="dxa" w:w="2160"/>
          </w:tcPr>
          <w:p>
            <w:r>
              <w:rPr>
                <w:sz w:val="20"/>
              </w:rPr>
              <w:t>Dar sentido a programas, cargos o reformas</w:t>
            </w:r>
          </w:p>
        </w:tc>
        <w:tc>
          <w:tcPr>
            <w:tcW w:type="dxa" w:w="2160"/>
          </w:tcPr>
          <w:p>
            <w:r>
              <w:rPr>
                <w:sz w:val="20"/>
              </w:rPr>
              <w:t>Convertir el lanzamiento en propaganda</w:t>
            </w:r>
          </w:p>
        </w:tc>
        <w:tc>
          <w:tcPr>
            <w:tcW w:type="dxa" w:w="2160"/>
          </w:tcPr>
          <w:p>
            <w:r>
              <w:rPr>
                <w:sz w:val="20"/>
              </w:rPr>
              <w:t>¿Qué propósito público se hace visible?</w:t>
            </w:r>
          </w:p>
        </w:tc>
      </w:tr>
      <w:tr>
        <w:tc>
          <w:tcPr>
            <w:tcW w:type="dxa" w:w="2160"/>
          </w:tcPr>
          <w:p>
            <w:r>
              <w:rPr>
                <w:sz w:val="20"/>
              </w:rPr>
              <w:t>Paso</w:t>
            </w:r>
          </w:p>
        </w:tc>
        <w:tc>
          <w:tcPr>
            <w:tcW w:type="dxa" w:w="2160"/>
          </w:tcPr>
          <w:p>
            <w:r>
              <w:rPr>
                <w:sz w:val="20"/>
              </w:rPr>
              <w:t>Acompañar transiciones de rol o ciclo institucional</w:t>
            </w:r>
          </w:p>
        </w:tc>
        <w:tc>
          <w:tcPr>
            <w:tcW w:type="dxa" w:w="2160"/>
          </w:tcPr>
          <w:p>
            <w:r>
              <w:rPr>
                <w:sz w:val="20"/>
              </w:rPr>
              <w:t>Reproducir jerarquías no justificadas</w:t>
            </w:r>
          </w:p>
        </w:tc>
        <w:tc>
          <w:tcPr>
            <w:tcW w:type="dxa" w:w="2160"/>
          </w:tcPr>
          <w:p>
            <w:r>
              <w:rPr>
                <w:sz w:val="20"/>
              </w:rPr>
              <w:t>¿Quién participa y quién queda fuera?</w:t>
            </w:r>
          </w:p>
        </w:tc>
      </w:tr>
      <w:tr>
        <w:tc>
          <w:tcPr>
            <w:tcW w:type="dxa" w:w="2160"/>
          </w:tcPr>
          <w:p>
            <w:r>
              <w:rPr>
                <w:sz w:val="20"/>
              </w:rPr>
              <w:t>Reconocimiento</w:t>
            </w:r>
          </w:p>
        </w:tc>
        <w:tc>
          <w:tcPr>
            <w:tcW w:type="dxa" w:w="2160"/>
          </w:tcPr>
          <w:p>
            <w:r>
              <w:rPr>
                <w:sz w:val="20"/>
              </w:rPr>
              <w:t>Valorar aportes individuales y colectivos</w:t>
            </w:r>
          </w:p>
        </w:tc>
        <w:tc>
          <w:tcPr>
            <w:tcW w:type="dxa" w:w="2160"/>
          </w:tcPr>
          <w:p>
            <w:r>
              <w:rPr>
                <w:sz w:val="20"/>
              </w:rPr>
              <w:t>Premiar visibilidad más que contribución</w:t>
            </w:r>
          </w:p>
        </w:tc>
        <w:tc>
          <w:tcPr>
            <w:tcW w:type="dxa" w:w="2160"/>
          </w:tcPr>
          <w:p>
            <w:r>
              <w:rPr>
                <w:sz w:val="20"/>
              </w:rPr>
              <w:t>¿Qué trabajo se reconoce o invisibiliza?</w:t>
            </w:r>
          </w:p>
        </w:tc>
      </w:tr>
      <w:tr>
        <w:tc>
          <w:tcPr>
            <w:tcW w:type="dxa" w:w="2160"/>
          </w:tcPr>
          <w:p>
            <w:r>
              <w:rPr>
                <w:sz w:val="20"/>
              </w:rPr>
              <w:t>Rendición de cuentas</w:t>
            </w:r>
          </w:p>
        </w:tc>
        <w:tc>
          <w:tcPr>
            <w:tcW w:type="dxa" w:w="2160"/>
          </w:tcPr>
          <w:p>
            <w:r>
              <w:rPr>
                <w:sz w:val="20"/>
              </w:rPr>
              <w:t>Comunicar responsabilidad ante ciudadanía</w:t>
            </w:r>
          </w:p>
        </w:tc>
        <w:tc>
          <w:tcPr>
            <w:tcW w:type="dxa" w:w="2160"/>
          </w:tcPr>
          <w:p>
            <w:r>
              <w:rPr>
                <w:sz w:val="20"/>
              </w:rPr>
              <w:t>Simular participación sin incidencia</w:t>
            </w:r>
          </w:p>
        </w:tc>
        <w:tc>
          <w:tcPr>
            <w:tcW w:type="dxa" w:w="2160"/>
          </w:tcPr>
          <w:p>
            <w:r>
              <w:rPr>
                <w:sz w:val="20"/>
              </w:rPr>
              <w:t>¿Cómo se sostiene la legitimidad pública?</w:t>
            </w:r>
          </w:p>
        </w:tc>
      </w:tr>
      <w:tr>
        <w:tc>
          <w:tcPr>
            <w:tcW w:type="dxa" w:w="2160"/>
          </w:tcPr>
          <w:p>
            <w:r>
              <w:rPr>
                <w:sz w:val="20"/>
              </w:rPr>
              <w:t>Cierre</w:t>
            </w:r>
          </w:p>
        </w:tc>
        <w:tc>
          <w:tcPr>
            <w:tcW w:type="dxa" w:w="2160"/>
          </w:tcPr>
          <w:p>
            <w:r>
              <w:rPr>
                <w:sz w:val="20"/>
              </w:rPr>
              <w:t>Elaborar pérdidas, aprendizajes y continuidad</w:t>
            </w:r>
          </w:p>
        </w:tc>
        <w:tc>
          <w:tcPr>
            <w:tcW w:type="dxa" w:w="2160"/>
          </w:tcPr>
          <w:p>
            <w:r>
              <w:rPr>
                <w:sz w:val="20"/>
              </w:rPr>
              <w:t>Omitir memoria institucional</w:t>
            </w:r>
          </w:p>
        </w:tc>
        <w:tc>
          <w:tcPr>
            <w:tcW w:type="dxa" w:w="2160"/>
          </w:tcPr>
          <w:p>
            <w:r>
              <w:rPr>
                <w:sz w:val="20"/>
              </w:rPr>
              <w:t>¿Qué narrativa queda disponible para el futuro?</w:t>
            </w:r>
          </w:p>
        </w:tc>
      </w:tr>
    </w:tbl>
    <w:p>
      <w:pPr>
        <w:pStyle w:val="Heading2"/>
      </w:pPr>
      <w:r>
        <w:t>Tabla 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Problema de gestión pública</w:t>
            </w:r>
          </w:p>
        </w:tc>
        <w:tc>
          <w:tcPr>
            <w:tcW w:type="dxa" w:w="2880"/>
          </w:tcPr>
          <w:p>
            <w:r>
              <w:rPr>
                <w:b/>
                <w:sz w:val="20"/>
              </w:rPr>
              <w:t>Lectura ritual posible</w:t>
            </w:r>
          </w:p>
        </w:tc>
        <w:tc>
          <w:tcPr>
            <w:tcW w:type="dxa" w:w="2880"/>
          </w:tcPr>
          <w:p>
            <w:r>
              <w:rPr>
                <w:b/>
                <w:sz w:val="20"/>
              </w:rPr>
              <w:t>Pregunta operativa para investigación futura</w:t>
            </w:r>
          </w:p>
        </w:tc>
      </w:tr>
      <w:tr>
        <w:tc>
          <w:tcPr>
            <w:tcW w:type="dxa" w:w="2880"/>
          </w:tcPr>
          <w:p>
            <w:r>
              <w:rPr>
                <w:sz w:val="20"/>
              </w:rPr>
              <w:t>Baja confianza ciudadana</w:t>
            </w:r>
          </w:p>
        </w:tc>
        <w:tc>
          <w:tcPr>
            <w:tcW w:type="dxa" w:w="2880"/>
          </w:tcPr>
          <w:p>
            <w:r>
              <w:rPr>
                <w:sz w:val="20"/>
              </w:rPr>
              <w:t>Ritual de rendición sin reciprocidad</w:t>
            </w:r>
          </w:p>
        </w:tc>
        <w:tc>
          <w:tcPr>
            <w:tcW w:type="dxa" w:w="2880"/>
          </w:tcPr>
          <w:p>
            <w:r>
              <w:rPr>
                <w:sz w:val="20"/>
              </w:rPr>
              <w:t>¿La ciudadanía participa o sólo presencia?</w:t>
            </w:r>
          </w:p>
        </w:tc>
      </w:tr>
      <w:tr>
        <w:tc>
          <w:tcPr>
            <w:tcW w:type="dxa" w:w="2880"/>
          </w:tcPr>
          <w:p>
            <w:r>
              <w:rPr>
                <w:sz w:val="20"/>
              </w:rPr>
              <w:t>Reforma institucional resistida</w:t>
            </w:r>
          </w:p>
        </w:tc>
        <w:tc>
          <w:tcPr>
            <w:tcW w:type="dxa" w:w="2880"/>
          </w:tcPr>
          <w:p>
            <w:r>
              <w:rPr>
                <w:sz w:val="20"/>
              </w:rPr>
              <w:t>Ruptura de ritos que sostenían identidad laboral</w:t>
            </w:r>
          </w:p>
        </w:tc>
        <w:tc>
          <w:tcPr>
            <w:tcW w:type="dxa" w:w="2880"/>
          </w:tcPr>
          <w:p>
            <w:r>
              <w:rPr>
                <w:sz w:val="20"/>
              </w:rPr>
              <w:t>¿Qué prácticas de cierre y transición faltaron?</w:t>
            </w:r>
          </w:p>
        </w:tc>
      </w:tr>
      <w:tr>
        <w:tc>
          <w:tcPr>
            <w:tcW w:type="dxa" w:w="2880"/>
          </w:tcPr>
          <w:p>
            <w:r>
              <w:rPr>
                <w:sz w:val="20"/>
              </w:rPr>
              <w:t>Invisibilización del trabajo de cuidado</w:t>
            </w:r>
          </w:p>
        </w:tc>
        <w:tc>
          <w:tcPr>
            <w:tcW w:type="dxa" w:w="2880"/>
          </w:tcPr>
          <w:p>
            <w:r>
              <w:rPr>
                <w:sz w:val="20"/>
              </w:rPr>
              <w:t>Reconocimiento centrado en metas cuantificables</w:t>
            </w:r>
          </w:p>
        </w:tc>
        <w:tc>
          <w:tcPr>
            <w:tcW w:type="dxa" w:w="2880"/>
          </w:tcPr>
          <w:p>
            <w:r>
              <w:rPr>
                <w:sz w:val="20"/>
              </w:rPr>
              <w:t>¿Qué aportes quedan fuera de las ceremonias oficiales?</w:t>
            </w:r>
          </w:p>
        </w:tc>
      </w:tr>
      <w:tr>
        <w:tc>
          <w:tcPr>
            <w:tcW w:type="dxa" w:w="2880"/>
          </w:tcPr>
          <w:p>
            <w:r>
              <w:rPr>
                <w:sz w:val="20"/>
              </w:rPr>
              <w:t>Participación formalista</w:t>
            </w:r>
          </w:p>
        </w:tc>
        <w:tc>
          <w:tcPr>
            <w:tcW w:type="dxa" w:w="2880"/>
          </w:tcPr>
          <w:p>
            <w:r>
              <w:rPr>
                <w:sz w:val="20"/>
              </w:rPr>
              <w:t>Consulta convertida en protocolo de legitimación</w:t>
            </w:r>
          </w:p>
        </w:tc>
        <w:tc>
          <w:tcPr>
            <w:tcW w:type="dxa" w:w="2880"/>
          </w:tcPr>
          <w:p>
            <w:r>
              <w:rPr>
                <w:sz w:val="20"/>
              </w:rPr>
              <w:t>¿Qué compromisos quedan registrados después del ritual?</w:t>
            </w:r>
          </w:p>
        </w:tc>
      </w:tr>
      <w:tr>
        <w:tc>
          <w:tcPr>
            <w:tcW w:type="dxa" w:w="2880"/>
          </w:tcPr>
          <w:p>
            <w:r>
              <w:rPr>
                <w:sz w:val="20"/>
              </w:rPr>
              <w:t>Digitalización acelerada</w:t>
            </w:r>
          </w:p>
        </w:tc>
        <w:tc>
          <w:tcPr>
            <w:tcW w:type="dxa" w:w="2880"/>
          </w:tcPr>
          <w:p>
            <w:r>
              <w:rPr>
                <w:sz w:val="20"/>
              </w:rPr>
              <w:t>Sustitución técnica de encuentros simbólicos</w:t>
            </w:r>
          </w:p>
        </w:tc>
        <w:tc>
          <w:tcPr>
            <w:tcW w:type="dxa" w:w="2880"/>
          </w:tcPr>
          <w:p>
            <w:r>
              <w:rPr>
                <w:sz w:val="20"/>
              </w:rPr>
              <w:t>¿Qué dimensiones de pertenencia se pierden en el canal digital?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