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単体・結合・総合テスト計画標準書</w:t>
      </w:r>
    </w:p>
    <w:p>
      <w:r>
        <w:t>テスト工程におけるテスト密度、バグ摘出目標件数、カバレッジ基準（C0/C1網羅率）を定めたテンプレートです。第三者検証チームへの引き渡し条件も記載されています。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