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提案書作成およびRFP対応ガイドライン</w:t>
      </w:r>
    </w:p>
    <w:p>
      <w:r>
        <w:t>顧客から受領したRFPに対する回答方針、提案書の構成標準、および概算見積作成時のリスク係数の算出基準について定めています。契約締結前には法務部のレビューが必須となります。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