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Кейс 9. Задача на английском языке</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Synchronise the two following methods in the class, so that every thread entering the “blockUntilDone()” method will be blocked, until the “doOnce()” method is called by some other thread. If “doOnce()” was called, any thread entering the “blockUntilDone()” method is free to continue.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4495800" cy="2562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25622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