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00000"/>
  <w:body>
    <w:p>
      <w:pPr>
        <w:pStyle w:val="Normal"/>
        <w:keepNext w:val="true"/>
        <w:spacing w:before="480" w:after="40"/>
        <w:rPr/>
      </w:pPr>
      <w:r>
        <w:rPr>
          <w:rFonts w:eastAsia="Bahnschrift" w:cs="Bahnschrift"/>
          <w:b/>
          <w:i w:val="false"/>
          <w:caps/>
          <w:color w:val="9A9A9A"/>
          <w:sz w:val="18"/>
        </w:rPr>
        <w:t>Core Engine — Studio-only module</w:t>
      </w:r>
    </w:p>
    <w:p>
      <w:pPr>
        <w:pStyle w:val="Normal"/>
        <w:keepNext w:val="true"/>
        <w:spacing w:before="40" w:after="120"/>
        <w:rPr>
          <w:color w:val="ADFF2F"/>
        </w:rPr>
      </w:pPr>
      <w:r>
        <w:rPr>
          <w:rFonts w:eastAsia="Bahnschrift" w:cs="Bahnschrift"/>
          <w:b/>
          <w:i w:val="false"/>
          <w:color w:val="ADFF2F"/>
          <w:sz w:val="64"/>
        </w:rPr>
        <w:t>Predictive Profiler — Arquitectura</w:t>
      </w:r>
    </w:p>
    <w:p>
      <w:pPr>
        <w:pStyle w:val="Normal"/>
        <w:spacing w:before="0" w:after="240"/>
        <w:rPr/>
      </w:pPr>
      <w:r>
        <w:rPr>
          <w:rFonts w:eastAsia="Bahnschrift" w:cs="Bahnschrift"/>
          <w:b w:val="false"/>
          <w:i w:val="false"/>
          <w:color w:val="9A9A9A"/>
          <w:sz w:val="26"/>
        </w:rPr>
        <w:t>Predice el impacto en CPU, GPU, memoria y build antes de ejecutar o compilar el proyecto, por analisis estatico.</w:t>
      </w:r>
    </w:p>
    <w:p>
      <w:pPr>
        <w:pStyle w:val="Normal"/>
        <w:keepNext w:val="true"/>
        <w:spacing w:before="480" w:after="160"/>
        <w:rPr/>
      </w:pPr>
      <w:r>
        <w:rPr>
          <w:rFonts w:eastAsia="Bahnschrift" w:cs="Bahnschrift"/>
          <w:b/>
          <w:i w:val="false"/>
          <w:color w:val="BDFF00"/>
          <w:sz w:val="40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  <w:webHidden/>
            </w:rPr>
            <w:fldChar w:fldCharType="separate"/>
          </w:r>
          <w:hyperlink w:anchor="__RefHeading___Toc311_1319948945" w:tooltip="Visión de 5 capas">
            <w:r>
              <w:rPr>
                <w:rStyle w:val="Enlacedelndice"/>
                <w:webHidden/>
              </w:rPr>
              <w:t>Visión de 5 capas</w:t>
              <w:tab/>
              <w:t>1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40_1319948945" w:tooltip="Prediction — tipo de moneda">
            <w:r>
              <w:rPr>
                <w:rStyle w:val="Enlacedelndice"/>
                <w:webHidden/>
              </w:rPr>
              <w:t>Prediction — tipo de moneda</w:t>
              <w:tab/>
              <w:t>3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42_1319948945" w:tooltip="Perfiles de plataforma">
            <w:r>
              <w:rPr>
                <w:rStyle w:val="Enlacedelndice"/>
                <w:webHidden/>
              </w:rPr>
              <w:t>Perfiles de plataforma</w:t>
              <w:tab/>
              <w:t>4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44_1319948945" w:tooltip="Contrato API v1">
            <w:r>
              <w:rPr>
                <w:rStyle w:val="Enlacedelndice"/>
                <w:webHidden/>
              </w:rPr>
              <w:t>Contrato API v1</w:t>
              <w:tab/>
              <w:t>5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46_1319948945" w:tooltip="Layer 1 — Asset Intelligence (✓ M1)">
            <w:r>
              <w:rPr>
                <w:rStyle w:val="Enlacedelndice"/>
                <w:webHidden/>
              </w:rPr>
              <w:t>Layer 1 — Asset Intelligence (✓ M1)</w:t>
              <w:tab/>
              <w:t>6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48_1319948945" w:tooltip="Layer 4 — Scores de riesgo (✓ parcial, M1)">
            <w:r>
              <w:rPr>
                <w:rStyle w:val="Enlacedelndice"/>
                <w:webHidden/>
              </w:rPr>
              <w:t>Layer 4 — Scores de riesgo (✓ parcial, M1)</w:t>
              <w:tab/>
              <w:t>7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50_1319948945" w:tooltip="Gating por tier">
            <w:r>
              <w:rPr>
                <w:rStyle w:val="Enlacedelndice"/>
                <w:webHidden/>
              </w:rPr>
              <w:t>Gating por tier</w:t>
              <w:tab/>
              <w:t>8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52_1319948945" w:tooltip="Roadmap">
            <w:r>
              <w:rPr>
                <w:rStyle w:val="Enlacedelndice"/>
                <w:webHidden/>
              </w:rPr>
              <w:t>Roadmap</w:t>
              <w:tab/>
              <w:t>9</w:t>
            </w:r>
          </w:hyperlink>
        </w:p>
        <w:p>
          <w:pPr>
            <w:pStyle w:val="TOC1"/>
            <w:tabs>
              <w:tab w:val="clear" w:pos="9518"/>
              <w:tab w:val="right" w:pos="9517" w:leader="dot"/>
            </w:tabs>
            <w:rPr/>
          </w:pPr>
          <w:hyperlink w:anchor="__RefHeading___Toc354_1319948945" w:tooltip="Principio de diseño">
            <w:r>
              <w:rPr>
                <w:rStyle w:val="Enlacedelndice"/>
                <w:webHidden/>
              </w:rPr>
              <w:t>Principio de diseño</w:t>
              <w:tab/>
              <w:t>10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0" w:name="__RefHeading___Toc311_1319948945"/>
      <w:bookmarkEnd w:id="0"/>
      <w:r>
        <w:rPr>
          <w:rFonts w:ascii="Bahnschrift" w:hAnsi="Bahnschrift"/>
          <w:color w:val="FFFFFF"/>
          <w:sz w:val="64"/>
          <w:szCs w:val="64"/>
        </w:rPr>
        <w:t>Visión de 5 capas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ADFF2F"/>
          <w:sz w:val="22"/>
        </w:rPr>
        <w:t>Layer 1 — Asset Intelligence</w:t>
      </w:r>
      <w:r>
        <w:rPr>
          <w:rFonts w:eastAsia="Bahnschrift" w:cs="Bahnschrift"/>
          <w:b w:val="false"/>
          <w:i w:val="false"/>
          <w:color w:val="F2F2F2"/>
          <w:sz w:val="22"/>
        </w:rPr>
        <w:t>: Escanea texturas, mallas y config de LOD. Consume lod_auditor.vram_model para VRAM exacta y ejecuta audit internamente para findings costeables. Input: lista de assets. Output: CostItem[] de memoria, build size, cada uno con impact y remediation.recovery.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ADFF2F"/>
          <w:sz w:val="22"/>
        </w:rPr>
        <w:t>Layer 2 — Scene Intelligence:</w:t>
      </w:r>
      <w:r>
        <w:rPr>
          <w:rFonts w:eastAsia="Bahnschrift" w:cs="Bahnschrift"/>
          <w:b w:val="false"/>
          <w:i w:val="false"/>
          <w:color w:val="F2F2F2"/>
          <w:sz w:val="22"/>
        </w:rPr>
        <w:t xml:space="preserve"> Digiere escenas (draw calls, instancias, material slots, lights, volúmenes). Mapea engine-specific (UE5 vs Unity) al modelo canónico. Output: banda de </w:t>
      </w:r>
      <w:r>
        <w:rPr>
          <w:rFonts w:eastAsia="Bahnschrift" w:cs="Bahnschrift"/>
          <w:b w:val="false"/>
          <w:i w:val="false"/>
          <w:color w:val="F2F2F2"/>
          <w:sz w:val="22"/>
        </w:rPr>
        <w:t>G</w:t>
      </w:r>
      <w:r>
        <w:rPr>
          <w:rFonts w:eastAsia="Bahnschrift" w:cs="Bahnschrift"/>
          <w:b w:val="false"/>
          <w:i w:val="false"/>
          <w:color w:val="F2F2F2"/>
          <w:sz w:val="22"/>
        </w:rPr>
        <w:t xml:space="preserve">PU (setup/draw) por frame </w:t>
      </w:r>
      <w:r>
        <w:rPr>
          <w:rFonts w:eastAsia="Bahnschrift" w:cs="Bahnschrift"/>
          <w:b w:val="false"/>
          <w:i w:val="false"/>
          <w:color w:val="F2F2F2"/>
          <w:sz w:val="22"/>
        </w:rPr>
        <w:t>+ CPU.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ADFF2F"/>
          <w:sz w:val="22"/>
        </w:rPr>
        <w:t xml:space="preserve">Layer 3 — Deep Code Intelligence: </w:t>
      </w:r>
      <w:r>
        <w:rPr>
          <w:rFonts w:eastAsia="Bahnschrift" w:cs="Bahnschrift"/>
          <w:b w:val="false"/>
          <w:i w:val="false"/>
          <w:color w:val="F2F2F2"/>
          <w:sz w:val="22"/>
        </w:rPr>
        <w:t>Tablatura de reglas de code_validator con coste en milisegundos de CPU/frame (tabla rule_costs.yaml). Contextualiza occurrence en el código (callsite, frecuencia de invocación). Output: banda de CPU por issue, agrupado por regla.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ADFF2F"/>
          <w:sz w:val="22"/>
        </w:rPr>
        <w:t xml:space="preserve">Layer 4 — Predictive Engine: </w:t>
      </w:r>
      <w:r>
        <w:rPr>
          <w:rFonts w:eastAsia="Bahnschrift" w:cs="Bahnschrift"/>
          <w:b w:val="false"/>
          <w:i w:val="false"/>
          <w:color w:val="F2F2F2"/>
          <w:sz w:val="22"/>
        </w:rPr>
        <w:t>Agrega Layer 1–3 en bandas, calcula overall_project_health (0–100) con riesgo por eje. Input: perfil de plataforma. Output: PredictiveReport con scores, drivers, top issues.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ADFF2F"/>
          <w:sz w:val="22"/>
        </w:rPr>
        <w:t>Layer 5 — Impact Simulator:</w:t>
      </w:r>
      <w:r>
        <w:rPr>
          <w:rFonts w:eastAsia="Bahnschrift" w:cs="Bahnschrift"/>
          <w:b w:val="false"/>
          <w:i w:val="false"/>
          <w:color w:val="F2F2F2"/>
          <w:sz w:val="22"/>
        </w:rPr>
        <w:t xml:space="preserve"> Runbook de remediation — qué issue fijar primero, qué impacto en cada eje. Reutiliza remediation.recovery de Layer 1 + deltas de Layer 3. Output: ranking de fixed/unfixed mundo alternativo.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1" w:name="__RefHeading___Toc340_1319948945"/>
      <w:bookmarkEnd w:id="1"/>
      <w:r>
        <w:rPr>
          <w:rFonts w:ascii="Bahnschrift" w:hAnsi="Bahnschrift"/>
          <w:color w:val="FFFFFF"/>
          <w:sz w:val="64"/>
          <w:szCs w:val="64"/>
        </w:rPr>
        <w:t>Prediction — tipo de moneda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Vive en core/modules/predictive/cost_model/prediction.py. Todo número es una banda, nunca escalar:</w:t>
      </w:r>
    </w:p>
    <w:tbl>
      <w:tblPr>
        <w:tblW w:w="9518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518"/>
      </w:tblGrid>
      <w:tr>
        <w:trPr/>
        <w:tc>
          <w:tcPr>
            <w:tcW w:w="9518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class Prediction(BaseModel):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expected: 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min: 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max: 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unit: str          # "ms_frame" | "mb" | "mb_min" | "s" | "min"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confidence: str     # "high" | "medium" | "low"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 xml:space="preserve">    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basis: str          # 1 frase de origen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Semántica de confidence: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high: matemática determinista (VRAM de bloques BCn vía lod_auditor)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medium: patrones calibrados contra ground truth (rule_costs.yaml con calibration_version)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low: heurísticas sin calibrar aún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Aritmética de bandas: plus(), scaled(), negated(), sum_predictions(). La suma NUNCA estrecha incertidumbre; confianza combinada = peor de operandos. No existe constructor sin banda+confidence+basis — es honestidad impuesta, no convención.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2" w:name="__RefHeading___Toc342_1319948945"/>
      <w:bookmarkEnd w:id="2"/>
      <w:r>
        <w:rPr>
          <w:rFonts w:ascii="Bahnschrift" w:hAnsi="Bahnschrift"/>
          <w:color w:val="FFFFFF"/>
          <w:sz w:val="64"/>
          <w:szCs w:val="64"/>
        </w:rPr>
        <w:t>Perfiles de plataforma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cost_model/platform_profiles.py + YAML en cost_model/config/platform_*.yaml. Cada perfil declara frame_budget_ms, cpu_budget_ms, gpu_budget_ms, vram_budget_mb, ram_budget_mb, reference_hw.</w:t>
      </w:r>
    </w:p>
    <w:tbl>
      <w:tblPr>
        <w:tblW w:w="8928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72"/>
        <w:gridCol w:w="2351"/>
        <w:gridCol w:w="2353"/>
        <w:gridCol w:w="2352"/>
      </w:tblGrid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Perfil</w:t>
            </w:r>
          </w:p>
        </w:tc>
        <w:tc>
          <w:tcPr>
            <w:tcW w:w="2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frame_budget_ms</w:t>
            </w:r>
          </w:p>
        </w:tc>
        <w:tc>
          <w:tcPr>
            <w:tcW w:w="23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Calibrated</w:t>
            </w:r>
          </w:p>
        </w:tc>
        <w:tc>
          <w:tcPr>
            <w:tcW w:w="23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Flags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desktop_60 (baseline)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16.67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Sí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—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desktop_144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6.94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—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console_30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33.33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—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console_60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16.67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—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mobile_30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33.33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—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vr_90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11.11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strict_budget (endurece riesgo en overrun)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steamdeck_60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16.67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No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unified_memory (RAM + VRAM comparten pool)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Property .is_calibrated: si falso, cualquier score sobre ese perfil queda confidence ≤ medium sin importar origen de la regla.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3" w:name="__RefHeading___Toc344_1319948945"/>
      <w:bookmarkEnd w:id="3"/>
      <w:r>
        <w:rPr>
          <w:rFonts w:ascii="Bahnschrift" w:hAnsi="Bahnschrift"/>
          <w:color w:val="FFFFFF"/>
          <w:sz w:val="64"/>
          <w:szCs w:val="64"/>
        </w:rPr>
        <w:t>Contrato API v1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core/modules/predictive/schema.py (SCHEMA_VERSION = "1.0") + rutas en core/api/routes/predictive.py.</w:t>
      </w:r>
    </w:p>
    <w:tbl>
      <w:tblPr>
        <w:tblW w:w="8928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72"/>
        <w:gridCol w:w="2351"/>
        <w:gridCol w:w="2353"/>
        <w:gridCol w:w="2352"/>
      </w:tblGrid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Endpoint</w:t>
            </w:r>
          </w:p>
        </w:tc>
        <w:tc>
          <w:tcPr>
            <w:tcW w:w="23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Método</w:t>
            </w:r>
          </w:p>
        </w:tc>
        <w:tc>
          <w:tcPr>
            <w:tcW w:w="23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Estado</w:t>
            </w:r>
          </w:p>
        </w:tc>
        <w:tc>
          <w:tcPr>
            <w:tcW w:w="23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Descripción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/predict/profiles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GET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Vivo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Devuelve catálogo de perfiles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/predict/analyze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POST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M1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One-shot Layer 1; mode=session_id responde 501 hasta M3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/predict/session/start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POST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501 (M3)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Inicia sesión batcheada (lotes de 150)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/predict/session/ingest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POST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501 (M3)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Ingesta incremental (mismo patrón que LOD Auditor)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/predict/simulate</w:t>
            </w:r>
          </w:p>
        </w:tc>
        <w:tc>
          <w:tcPr>
            <w:tcW w:w="2351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POST</w:t>
            </w:r>
          </w:p>
        </w:tc>
        <w:tc>
          <w:tcPr>
            <w:tcW w:w="2353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501 (M4)</w:t>
            </w:r>
          </w:p>
        </w:tc>
        <w:tc>
          <w:tcPr>
            <w:tcW w:w="235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Impact Simulator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>
          <w:color w:val="ADFF2F"/>
        </w:rPr>
      </w:pPr>
      <w:r>
        <w:rPr>
          <w:rFonts w:eastAsia="Bahnschrift" w:cs="Bahnschrift"/>
          <w:b w:val="false"/>
          <w:i w:val="false"/>
          <w:color w:val="ADFF2F"/>
          <w:sz w:val="22"/>
        </w:rPr>
        <w:t>Payload de análisis (AnalyzeRequest): 4 secciones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assets: shape idéntico a /assets/lod/audit (cero trabajo cliente)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scenes: digest de escena (campos UE5 + Unity conviven; defaults engine-specific)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code_issues: salida de /validate/* + ocurrencia opcional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config: render/build settings</w:t>
      </w:r>
    </w:p>
    <w:p>
      <w:pPr>
        <w:pStyle w:val="Normal"/>
        <w:spacing w:before="0" w:after="120"/>
        <w:rPr>
          <w:color w:val="ADFF2F"/>
        </w:rPr>
      </w:pPr>
      <w:r>
        <w:rPr>
          <w:rFonts w:eastAsia="Bahnschrift" w:cs="Bahnschrift"/>
          <w:b w:val="false"/>
          <w:i w:val="false"/>
          <w:color w:val="ADFF2F"/>
          <w:sz w:val="22"/>
        </w:rPr>
        <w:t>Reporte de salida (PredictiveReport):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scores: [cpu_risk, gpu_risk, memory_risk, build_health, overall_project_health] cada una con drivers[] (ids de impacto)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frame_budget: Prediction de spend por frame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memory: {vram, ram} con Prediction cada uno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build: {time, size} con Prediction cada uno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top_issues: [CostItem] — cada uno con impact Y remediation.recovery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cost_items: desglose completo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stats: incluye code_issues_uncosted (cobertura transparente, nunca se inventa coste)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4" w:name="__RefHeading___Toc346_1319948945"/>
      <w:bookmarkEnd w:id="4"/>
      <w:r>
        <w:rPr>
          <w:rFonts w:ascii="Bahnschrift" w:hAnsi="Bahnschrift"/>
          <w:color w:val="FFFFFF"/>
          <w:sz w:val="64"/>
          <w:szCs w:val="64"/>
        </w:rPr>
        <w:t>Layer 1 — Asset Intelligence (✓ M1)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layers/layer1_assets.py + cost_model/asset_costs.py. Reutiliza: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lod_auditor.vram_model.estimate_texture_vram_mb() / resolve_texture_bpp() → VRAM exacta (confidence high)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lod_auditor.mesh_buffer_mb() → memoria de buffer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lod_auditor.audit_assets() internamente — cada finding con saving medible se promociona a CostItem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Semántica: impact == remediation.recovery (el exceso de hoy es lo que se recupera al fijar).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Build size (confidence medium, pendiente calibración M5): payload_gpu × (0.65–1.0 ratio empaquetado).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5" w:name="__RefHeading___Toc348_1319948945"/>
      <w:bookmarkEnd w:id="5"/>
      <w:r>
        <w:rPr>
          <w:rFonts w:ascii="Bahnschrift" w:hAnsi="Bahnschrift"/>
          <w:color w:val="FFFFFF"/>
          <w:sz w:val="64"/>
          <w:szCs w:val="64"/>
        </w:rPr>
        <w:t>Layer 4 — Scores de riesgo (✓ parcial, M1)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layers/layer4_scores.py. Curva de riesgo por tramos sobre % presupuesto utilizado:</w:t>
      </w:r>
    </w:p>
    <w:tbl>
      <w:tblPr>
        <w:tblW w:w="9518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518"/>
      </w:tblGrid>
      <w:tr>
        <w:trPr/>
        <w:tc>
          <w:tcPr>
            <w:tcW w:w="9518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≤</w:t>
            </w: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60%       → 0–20 (sano)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60–85%     → 20–50 (precaución)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85–100%    → 50–80 (crítico)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F2F2F2"/>
                <w:sz w:val="18"/>
              </w:rPr>
              <w:t>&gt;100%      → 80–100 (overrun, pendiente = 2x si strict_budget)</w:t>
            </w:r>
          </w:p>
        </w:tc>
      </w:tr>
    </w:tbl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Scores vivos (M1):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memory_risk: VRAM + RAM vs budgets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build_health: size vs target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Scores pendientes (M2–M3):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cpu_risk: Layer 2 (scene) + Layer 3 (code)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gpu_risk: Layer 2 (draw calls, instancias, material setup)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overall_project_health = 100 − weighted-max(active_risks):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75% el peor eje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25% media del resto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Ejes sin datos se excluyen (no cuentan como sanos)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Un solo eje reventado hunde el proyecto.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6" w:name="__RefHeading___Toc350_1319948945"/>
      <w:bookmarkEnd w:id="6"/>
      <w:r>
        <w:rPr>
          <w:rFonts w:ascii="Bahnschrift" w:hAnsi="Bahnschrift"/>
          <w:color w:val="FFFFFF"/>
          <w:sz w:val="64"/>
          <w:szCs w:val="64"/>
        </w:rPr>
        <w:t>Gating por tier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Dockerfile: rm -rf modules/predictive api/routes/predictive.py en imagen free.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Runtime: Registro condicional en core/api/main.py dentro bloque if _IS_PAID_EDITION.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Tier gate (core/api/tier_guard.py): Studio + Enterprise (factorizado de LOD Auditor — lección real donde != "studio" bloqueaba Enterprise).</w:t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7" w:name="__RefHeading___Toc352_1319948945"/>
      <w:bookmarkEnd w:id="7"/>
      <w:r>
        <w:rPr>
          <w:rFonts w:ascii="Bahnschrift" w:hAnsi="Bahnschrift"/>
          <w:color w:val="FFFFFF"/>
          <w:sz w:val="64"/>
          <w:szCs w:val="64"/>
        </w:rPr>
        <w:t>Roadmap</w:t>
      </w:r>
    </w:p>
    <w:tbl>
      <w:tblPr>
        <w:tblW w:w="8928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72"/>
        <w:gridCol w:w="7056"/>
      </w:tblGrid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Milestone</w:t>
            </w:r>
          </w:p>
        </w:tc>
        <w:tc>
          <w:tcPr>
            <w:tcW w:w="70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DFF00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aps/>
                <w:color w:val="0A0A0A"/>
                <w:sz w:val="18"/>
              </w:rPr>
              <w:t>Contenido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M2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rule_costs.yaml (≥25 reglas code_validator) + layer3_code.py + cpu_risk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M3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layer2_scene.py + sesiones batcheadas reales (Mongo TTL)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M4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layer5_simulator.py + contrato API frozen para cliente Unity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M5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Calibración vs CitySample (fixtures + Unreal Insights ground truth)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M6–M8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Cliente UE5: colectores de escena/config + ShintCoreClient_Predictive.cpp + ventana independiente (segundo nomad tab, NO sidebar) + 3 zonas (scores, top issues, simulator)</w:t>
            </w:r>
          </w:p>
        </w:tc>
      </w:tr>
      <w:tr>
        <w:trPr/>
        <w:tc>
          <w:tcPr>
            <w:tcW w:w="1872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/>
                <w:i w:val="false"/>
                <w:color w:val="BDFF00"/>
                <w:sz w:val="18"/>
              </w:rPr>
              <w:t>M9</w:t>
            </w:r>
          </w:p>
        </w:tc>
        <w:tc>
          <w:tcPr>
            <w:tcW w:w="7056" w:type="dxa"/>
            <w:tcBorders>
              <w:top w:val="single" w:sz="4" w:space="0" w:color="2A2A2A"/>
              <w:start w:val="single" w:sz="4" w:space="0" w:color="2A2A2A"/>
              <w:bottom w:val="single" w:sz="4" w:space="0" w:color="2A2A2A"/>
              <w:end w:val="single" w:sz="4" w:space="0" w:color="2A2A2A"/>
            </w:tcBorders>
            <w:shd w:color="auto" w:fill="151515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Bahnschrift" w:cs="Bahnschrift"/>
                <w:b w:val="false"/>
                <w:i w:val="false"/>
                <w:color w:val="F2F2F2"/>
                <w:sz w:val="18"/>
              </w:rPr>
              <w:t>Docs usuario + material comercial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1" w:color="2A2A2A"/>
        </w:pBdr>
        <w:spacing w:before="12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>
          <w:rFonts w:ascii="Bahnschrift" w:hAnsi="Bahnschrift"/>
          <w:color w:val="FFFFFF"/>
          <w:sz w:val="64"/>
          <w:szCs w:val="64"/>
        </w:rPr>
      </w:pPr>
      <w:bookmarkStart w:id="8" w:name="__RefHeading___Toc354_1319948945"/>
      <w:bookmarkEnd w:id="8"/>
      <w:r>
        <w:rPr>
          <w:rFonts w:ascii="Bahnschrift" w:hAnsi="Bahnschrift"/>
          <w:color w:val="FFFFFF"/>
          <w:sz w:val="64"/>
          <w:szCs w:val="64"/>
        </w:rPr>
        <w:t>Principio de diseño</w:t>
      </w:r>
    </w:p>
    <w:p>
      <w:pPr>
        <w:pStyle w:val="Normal"/>
        <w:spacing w:before="0" w:after="120"/>
        <w:rPr/>
      </w:pPr>
      <w:r>
        <w:rPr>
          <w:rFonts w:eastAsia="Bahnschrift" w:cs="Bahnschrift"/>
          <w:b w:val="false"/>
          <w:i w:val="false"/>
          <w:color w:val="F2F2F2"/>
          <w:sz w:val="22"/>
        </w:rPr>
        <w:t>Ninguna cifra sale sin banda+confianza+origen. Ninguna capa inventa cobertura que no tiene — issues sin coste se cuentan, no se ocultan; ejes de score sin datos no puntúan. Es la diferencia entre un profiler estático creíble y un generador de números bonitos para una demo.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61" w:right="1361" w:gutter="0" w:header="72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Bahnschrift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ahnschrift">
    <w:charset w:val="01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right" w:pos="9216" w:leader="none"/>
      </w:tabs>
      <w:rPr/>
    </w:pPr>
    <w:r>
      <w:rPr>
        <w:rFonts w:eastAsia="Bahnschrift" w:cs="Bahnschrift"/>
        <w:b w:val="false"/>
        <w:i w:val="false"/>
        <w:color w:val="9A9A9A"/>
        <w:sz w:val="16"/>
      </w:rPr>
      <w:t>ShintTools © 2026 · raul@shint.tools</w:t>
    </w:r>
    <w:r>
      <w:rPr/>
      <w:tab/>
    </w:r>
    <w:r>
      <w:rPr>
        <w:rFonts w:eastAsia="Bahnschrift" w:cs="Bahnschrift"/>
        <w:b w:val="false"/>
        <w:i w:val="false"/>
        <w:color w:val="F2F2F2"/>
        <w:sz w:val="22"/>
      </w:rPr>
      <w:fldChar w:fldCharType="begin"/>
    </w:r>
    <w:r>
      <w:rPr>
        <w:rFonts w:eastAsia="Bahnschrift" w:cs="Bahnschrift"/>
        <w:b w:val="false"/>
        <w:i w:val="false"/>
        <w:color w:val="F2F2F2"/>
        <w:sz w:val="22"/>
      </w:rPr>
      <w:instrText xml:space="preserve"> PAGE </w:instrText>
    </w:r>
    <w:r>
      <w:rPr>
        <w:rFonts w:eastAsia="Bahnschrift" w:cs="Bahnschrift"/>
        <w:b w:val="false"/>
        <w:i w:val="false"/>
        <w:color w:val="F2F2F2"/>
        <w:sz w:val="22"/>
      </w:rPr>
      <w:fldChar w:fldCharType="separate"/>
    </w:r>
    <w:r>
      <w:rPr>
        <w:rFonts w:eastAsia="Bahnschrift" w:cs="Bahnschrift"/>
        <w:b w:val="false"/>
        <w:i w:val="false"/>
        <w:color w:val="F2F2F2"/>
        <w:sz w:val="22"/>
      </w:rPr>
      <w:t>10</w:t>
    </w:r>
    <w:r>
      <w:rPr>
        <w:rFonts w:eastAsia="Bahnschrift" w:cs="Bahnschrift"/>
        <w:b w:val="false"/>
        <w:i w:val="false"/>
        <w:color w:val="F2F2F2"/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right" w:pos="9216" w:leader="none"/>
      </w:tabs>
      <w:rPr/>
    </w:pPr>
    <w:r>
      <w:rPr>
        <w:rFonts w:eastAsia="Bahnschrift" w:cs="Bahnschrift"/>
        <w:b w:val="false"/>
        <w:i w:val="false"/>
        <w:color w:val="9A9A9A"/>
        <w:sz w:val="16"/>
      </w:rPr>
      <w:t>ShintTools © 2026 · raul@shint.tools</w:t>
    </w:r>
    <w:r>
      <w:rPr/>
      <w:tab/>
    </w:r>
    <w:r>
      <w:rPr>
        <w:rFonts w:eastAsia="Bahnschrift" w:cs="Bahnschrift"/>
        <w:b w:val="false"/>
        <w:i w:val="false"/>
        <w:color w:val="F2F2F2"/>
        <w:sz w:val="22"/>
      </w:rPr>
      <w:fldChar w:fldCharType="begin"/>
    </w:r>
    <w:r>
      <w:rPr>
        <w:rFonts w:eastAsia="Bahnschrift" w:cs="Bahnschrift"/>
        <w:b w:val="false"/>
        <w:i w:val="false"/>
        <w:color w:val="F2F2F2"/>
        <w:sz w:val="22"/>
      </w:rPr>
      <w:instrText xml:space="preserve"> PAGE </w:instrText>
    </w:r>
    <w:r>
      <w:rPr>
        <w:rFonts w:eastAsia="Bahnschrift" w:cs="Bahnschrift"/>
        <w:b w:val="false"/>
        <w:i w:val="false"/>
        <w:color w:val="F2F2F2"/>
        <w:sz w:val="22"/>
      </w:rPr>
      <w:fldChar w:fldCharType="separate"/>
    </w:r>
    <w:r>
      <w:rPr>
        <w:rFonts w:eastAsia="Bahnschrift" w:cs="Bahnschrift"/>
        <w:b w:val="false"/>
        <w:i w:val="false"/>
        <w:color w:val="F2F2F2"/>
        <w:sz w:val="22"/>
      </w:rPr>
      <w:t>10</w:t>
    </w:r>
    <w:r>
      <w:rPr>
        <w:rFonts w:eastAsia="Bahnschrift" w:cs="Bahnschrift"/>
        <w:b w:val="false"/>
        <w:i w:val="false"/>
        <w:color w:val="F2F2F2"/>
        <w:sz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right" w:pos="9216" w:leader="none"/>
      </w:tabs>
      <w:rPr/>
    </w:pPr>
    <w:r>
      <w:rPr>
        <w:rFonts w:eastAsia="Bahnschrift" w:cs="Bahnschrift"/>
        <w:b/>
        <w:i w:val="false"/>
        <w:caps/>
        <w:color w:val="9A9A9A"/>
        <w:sz w:val="16"/>
      </w:rPr>
      <w:t>SHINTTOOLS · PREDICTIVE PROFILER — ARCHITECTURE · DOCUMENTATION</w:t>
    </w:r>
    <w:r>
      <w:rPr/>
      <w:tab/>
    </w:r>
    <w:r>
      <w:rPr>
        <w:rFonts w:eastAsia="Bahnschrift" w:cs="Bahnschrift"/>
        <w:b/>
        <w:i w:val="false"/>
        <w:color w:val="BDFF00"/>
        <w:sz w:val="16"/>
      </w:rPr>
      <w:t>shint.tools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right" w:pos="9216" w:leader="none"/>
      </w:tabs>
      <w:rPr/>
    </w:pPr>
    <w:r>
      <w:rPr>
        <w:rFonts w:eastAsia="Bahnschrift" w:cs="Bahnschrift"/>
        <w:b/>
        <w:i w:val="false"/>
        <w:caps/>
        <w:color w:val="9A9A9A"/>
        <w:sz w:val="16"/>
      </w:rPr>
      <w:t>SHINTTOOLS · PREDICTIVE PROFILER — ARCHITECTURE · DOCUMENTATION</w:t>
    </w:r>
    <w:r>
      <w:rPr/>
      <w:tab/>
    </w:r>
    <w:r>
      <w:rPr>
        <w:rFonts w:eastAsia="Bahnschrift" w:cs="Bahnschrift"/>
        <w:b/>
        <w:i w:val="false"/>
        <w:color w:val="BDFF00"/>
        <w:sz w:val="16"/>
      </w:rPr>
      <w:t>shint.tools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Bahnschrift" w:hAnsi="Bahnschrift" w:eastAsia="ＭＳ 明朝" w:cs=""/>
      <w:color w:val="F2F2F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Bahnschrift" w:hAnsi="Bahnschrift"/>
      <w:color w:val="F2F2F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518" w:leader="dot"/>
      </w:tabs>
      <w:ind w:hanging="0" w:start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Application>LibreOffice/26.2.4.2$Windows_X86_64 LibreOffice_project/0229ac93fcf0d7cbc6376066c6f35021cef002dc</Application>
  <AppVersion>15.0000</AppVersion>
  <Pages>10</Pages>
  <Words>929</Words>
  <Characters>5836</Characters>
  <CharactersWithSpaces>6665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2026-07-22T17:46:30Z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