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bCs/>
          <w:sz w:val="21"/>
          <w:szCs w:val="21"/>
          <w:lang w:val="en-US" w:eastAsia="zh-CN"/>
        </w:rPr>
        <w:t>Section 1</w:t>
      </w:r>
      <w:r>
        <w:rPr>
          <w:rFonts w:hint="eastAsia" w:asciiTheme="minorEastAsia" w:hAnsiTheme="minorEastAsia" w:eastAsiaTheme="minorEastAsia" w:cstheme="minorEastAsia"/>
          <w:sz w:val="21"/>
          <w:szCs w:val="21"/>
          <w:lang w:val="en-US" w:eastAsia="zh-CN"/>
        </w:rPr>
        <w:t>:</w:t>
      </w:r>
    </w:p>
    <w:p>
      <w:pPr>
        <w:bidi w:val="0"/>
        <w:spacing w:line="360" w:lineRule="auto"/>
        <w:jc w:val="both"/>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b/>
          <w:bCs/>
          <w:sz w:val="21"/>
          <w:szCs w:val="21"/>
          <w:lang w:val="en-US"/>
        </w:rPr>
        <w:t>Answer # 1 -</w:t>
      </w:r>
    </w:p>
    <w:p>
      <w:pPr>
        <w:spacing w:line="360" w:lineRule="auto"/>
        <w:jc w:val="both"/>
        <w:rPr>
          <w:sz w:val="21"/>
          <w:szCs w:val="21"/>
          <w:lang w:val="en-US" w:eastAsia="zh-CN"/>
        </w:rPr>
      </w:pPr>
      <w:r>
        <w:rPr>
          <w:sz w:val="21"/>
          <w:szCs w:val="21"/>
          <w:lang w:val="en-US" w:eastAsia="zh-CN"/>
        </w:rPr>
        <w:t>When deciding which blockchain to deploy a dApp on, there are several factors that</w:t>
      </w:r>
      <w:r>
        <w:rPr>
          <w:rFonts w:hint="default"/>
          <w:sz w:val="21"/>
          <w:szCs w:val="21"/>
          <w:lang w:val="en-US" w:eastAsia="zh-CN"/>
        </w:rPr>
        <w:t xml:space="preserve"> the client</w:t>
      </w:r>
      <w:r>
        <w:rPr>
          <w:sz w:val="21"/>
          <w:szCs w:val="21"/>
          <w:lang w:val="en-US" w:eastAsia="zh-CN"/>
        </w:rPr>
        <w:t xml:space="preserve"> should take into consideration. Here are some key points that </w:t>
      </w:r>
      <w:r>
        <w:rPr>
          <w:rFonts w:hint="default"/>
          <w:sz w:val="21"/>
          <w:szCs w:val="21"/>
          <w:lang w:val="en-US" w:eastAsia="zh-CN"/>
        </w:rPr>
        <w:t>s</w:t>
      </w:r>
      <w:r>
        <w:rPr>
          <w:sz w:val="21"/>
          <w:szCs w:val="21"/>
          <w:lang w:val="en-US" w:eastAsia="zh-CN"/>
        </w:rPr>
        <w:t>hould</w:t>
      </w:r>
      <w:r>
        <w:rPr>
          <w:rFonts w:hint="default"/>
          <w:sz w:val="21"/>
          <w:szCs w:val="21"/>
          <w:lang w:val="en-US" w:eastAsia="zh-CN"/>
        </w:rPr>
        <w:t xml:space="preserve"> be </w:t>
      </w:r>
      <w:r>
        <w:rPr>
          <w:sz w:val="21"/>
          <w:szCs w:val="21"/>
          <w:lang w:val="en-US" w:eastAsia="zh-CN"/>
        </w:rPr>
        <w:t>consider</w:t>
      </w:r>
      <w:r>
        <w:rPr>
          <w:rFonts w:hint="default"/>
          <w:sz w:val="21"/>
          <w:szCs w:val="21"/>
          <w:lang w:val="en-US" w:eastAsia="zh-CN"/>
        </w:rPr>
        <w:t>ed</w:t>
      </w:r>
      <w:r>
        <w:rPr>
          <w:sz w:val="21"/>
          <w:szCs w:val="21"/>
          <w:lang w:val="en-US" w:eastAsia="zh-CN"/>
        </w:rPr>
        <w:t>:</w:t>
      </w:r>
    </w:p>
    <w:p>
      <w:pPr>
        <w:spacing w:line="360" w:lineRule="auto"/>
        <w:jc w:val="both"/>
        <w:rPr>
          <w:rFonts w:hint="default"/>
          <w:sz w:val="21"/>
          <w:szCs w:val="21"/>
          <w:lang w:val="en-US" w:eastAsia="zh-CN"/>
        </w:rPr>
      </w:pPr>
    </w:p>
    <w:p>
      <w:pPr>
        <w:numPr>
          <w:ilvl w:val="0"/>
          <w:numId w:val="1"/>
        </w:numPr>
        <w:spacing w:line="360" w:lineRule="auto"/>
        <w:ind w:left="425" w:leftChars="0" w:hanging="425" w:firstLineChars="0"/>
        <w:jc w:val="both"/>
        <w:rPr>
          <w:sz w:val="21"/>
          <w:szCs w:val="21"/>
        </w:rPr>
      </w:pPr>
      <w:r>
        <w:rPr>
          <w:rFonts w:hint="default"/>
          <w:b/>
          <w:bCs/>
          <w:sz w:val="21"/>
          <w:szCs w:val="21"/>
        </w:rPr>
        <w:t>Security and decentralization:</w:t>
      </w:r>
      <w:r>
        <w:rPr>
          <w:rFonts w:hint="default"/>
          <w:sz w:val="21"/>
          <w:szCs w:val="21"/>
        </w:rPr>
        <w:t xml:space="preserve"> </w:t>
      </w:r>
      <w:r>
        <w:rPr>
          <w:sz w:val="21"/>
          <w:szCs w:val="21"/>
          <w:lang w:val="en-US" w:eastAsia="zh-CN"/>
        </w:rPr>
        <w:t xml:space="preserve">When deciding on a blockchain to deploy a dApp, it is important to give due consideration to the blockchain's security and degree of decentralization. </w:t>
      </w:r>
      <w:r>
        <w:rPr>
          <w:rFonts w:hint="default"/>
          <w:sz w:val="21"/>
          <w:szCs w:val="21"/>
          <w:lang w:val="en-US" w:eastAsia="zh-CN"/>
        </w:rPr>
        <w:t>Currently</w:t>
      </w:r>
      <w:r>
        <w:rPr>
          <w:sz w:val="21"/>
          <w:szCs w:val="21"/>
          <w:lang w:val="en-US" w:eastAsia="zh-CN"/>
        </w:rPr>
        <w:t>, Ethereum is the most secure and decentralized blockchain available. However, newer blockchains are implementing innovative security and consensus mechanisms that may provide equivalent or superior security guarantees.</w:t>
      </w:r>
    </w:p>
    <w:p>
      <w:pPr>
        <w:numPr>
          <w:ilvl w:val="0"/>
          <w:numId w:val="1"/>
        </w:numPr>
        <w:spacing w:line="360" w:lineRule="auto"/>
        <w:ind w:left="425" w:leftChars="0" w:hanging="425" w:firstLineChars="0"/>
        <w:jc w:val="both"/>
        <w:rPr>
          <w:sz w:val="21"/>
          <w:szCs w:val="21"/>
        </w:rPr>
      </w:pPr>
      <w:r>
        <w:rPr>
          <w:rFonts w:hint="default"/>
          <w:b/>
          <w:bCs/>
          <w:sz w:val="21"/>
          <w:szCs w:val="21"/>
        </w:rPr>
        <w:t>Ecosystem and community:</w:t>
      </w:r>
      <w:r>
        <w:rPr>
          <w:rFonts w:hint="default"/>
          <w:sz w:val="21"/>
          <w:szCs w:val="21"/>
        </w:rPr>
        <w:t xml:space="preserve"> The ecosystem and community surrounding a blockchain can be important for gaining access to resources and support. </w:t>
      </w:r>
      <w:r>
        <w:rPr>
          <w:rFonts w:hint="default"/>
          <w:sz w:val="21"/>
          <w:szCs w:val="21"/>
          <w:lang w:val="en-US"/>
        </w:rPr>
        <w:t xml:space="preserve">The </w:t>
      </w:r>
      <w:r>
        <w:rPr>
          <w:rFonts w:hint="default"/>
          <w:sz w:val="21"/>
          <w:szCs w:val="21"/>
        </w:rPr>
        <w:t>client should evaluate the quality and size of the ecosystem and community around the blockchains they are considering.</w:t>
      </w:r>
    </w:p>
    <w:p>
      <w:pPr>
        <w:numPr>
          <w:ilvl w:val="0"/>
          <w:numId w:val="1"/>
        </w:numPr>
        <w:spacing w:line="360" w:lineRule="auto"/>
        <w:ind w:left="425" w:leftChars="0" w:hanging="425" w:firstLineChars="0"/>
        <w:jc w:val="both"/>
        <w:rPr>
          <w:sz w:val="21"/>
          <w:szCs w:val="21"/>
        </w:rPr>
      </w:pPr>
      <w:r>
        <w:rPr>
          <w:b/>
          <w:bCs/>
          <w:sz w:val="21"/>
          <w:szCs w:val="21"/>
        </w:rPr>
        <w:t>Transaction speed and scalability:</w:t>
      </w:r>
      <w:r>
        <w:rPr>
          <w:sz w:val="21"/>
          <w:szCs w:val="21"/>
        </w:rPr>
        <w:t xml:space="preserve"> The high gas fees and slow transaction processing times of Ethereum remain a challenge</w:t>
      </w:r>
      <w:r>
        <w:rPr>
          <w:rFonts w:hint="default"/>
          <w:sz w:val="21"/>
          <w:szCs w:val="21"/>
          <w:lang w:val="en-US"/>
        </w:rPr>
        <w:t xml:space="preserve"> as compared to other blockchains such as Solana</w:t>
      </w:r>
      <w:r>
        <w:rPr>
          <w:sz w:val="21"/>
          <w:szCs w:val="21"/>
        </w:rPr>
        <w:t xml:space="preserve">. </w:t>
      </w:r>
      <w:r>
        <w:rPr>
          <w:rFonts w:hint="default"/>
          <w:sz w:val="21"/>
          <w:szCs w:val="21"/>
          <w:lang w:val="en-US"/>
        </w:rPr>
        <w:t>The</w:t>
      </w:r>
      <w:r>
        <w:rPr>
          <w:sz w:val="21"/>
          <w:szCs w:val="21"/>
        </w:rPr>
        <w:t xml:space="preserve"> client should assess whether the blockchain they choose can handle the expected transaction volume and provide fast and affordable transactions.</w:t>
      </w:r>
    </w:p>
    <w:p>
      <w:pPr>
        <w:numPr>
          <w:ilvl w:val="0"/>
          <w:numId w:val="1"/>
        </w:numPr>
        <w:spacing w:line="360" w:lineRule="auto"/>
        <w:ind w:left="425" w:leftChars="0" w:hanging="425" w:firstLineChars="0"/>
        <w:jc w:val="both"/>
        <w:rPr>
          <w:rFonts w:hint="default"/>
          <w:sz w:val="21"/>
          <w:szCs w:val="21"/>
        </w:rPr>
      </w:pPr>
      <w:r>
        <w:rPr>
          <w:rFonts w:hint="default"/>
          <w:b/>
          <w:bCs/>
          <w:sz w:val="21"/>
          <w:szCs w:val="21"/>
        </w:rPr>
        <w:t>Smart contract functionality:</w:t>
      </w:r>
      <w:r>
        <w:rPr>
          <w:rFonts w:hint="default"/>
          <w:sz w:val="21"/>
          <w:szCs w:val="21"/>
        </w:rPr>
        <w:t xml:space="preserve"> Different blockchains have varying levels of smart contract functionality, and some may have limitations on the types of smart contracts that can be deployed. </w:t>
      </w:r>
      <w:r>
        <w:rPr>
          <w:rFonts w:hint="default"/>
          <w:sz w:val="21"/>
          <w:szCs w:val="21"/>
          <w:lang w:val="en-US"/>
        </w:rPr>
        <w:t xml:space="preserve">The </w:t>
      </w:r>
      <w:r>
        <w:rPr>
          <w:rFonts w:hint="default"/>
          <w:sz w:val="21"/>
          <w:szCs w:val="21"/>
        </w:rPr>
        <w:t>client should determine whether the blockchain they choose can support the specific features and functionality required for their crowdfunding dApp.</w:t>
      </w:r>
    </w:p>
    <w:p>
      <w:pPr>
        <w:numPr>
          <w:ilvl w:val="0"/>
          <w:numId w:val="1"/>
        </w:numPr>
        <w:spacing w:line="360" w:lineRule="auto"/>
        <w:ind w:left="425" w:leftChars="0" w:hanging="425" w:firstLineChars="0"/>
        <w:jc w:val="both"/>
        <w:rPr>
          <w:rFonts w:hint="default"/>
          <w:sz w:val="21"/>
          <w:szCs w:val="21"/>
        </w:rPr>
      </w:pPr>
      <w:r>
        <w:rPr>
          <w:b/>
          <w:bCs/>
          <w:sz w:val="21"/>
          <w:szCs w:val="21"/>
        </w:rPr>
        <w:t>Market size and user adoption:</w:t>
      </w:r>
      <w:r>
        <w:rPr>
          <w:sz w:val="21"/>
          <w:szCs w:val="21"/>
        </w:rPr>
        <w:t xml:space="preserve"> Ethereum currently has the largest user base and developer community compared to other blockchains, providing easier access to users and developers. However, other newer blockchains such as Solana and Polkadot are rapidly growing and may offer opportunities for entering new markets and gaining early adoption.</w:t>
      </w:r>
    </w:p>
    <w:p>
      <w:pPr>
        <w:spacing w:line="360" w:lineRule="auto"/>
        <w:jc w:val="both"/>
        <w:rPr>
          <w:sz w:val="21"/>
          <w:szCs w:val="21"/>
        </w:rPr>
      </w:pPr>
    </w:p>
    <w:p>
      <w:pPr>
        <w:spacing w:line="360" w:lineRule="auto"/>
        <w:jc w:val="both"/>
        <w:rPr>
          <w:rFonts w:hint="eastAsia" w:asciiTheme="minorEastAsia" w:hAnsiTheme="minorEastAsia" w:eastAsiaTheme="minorEastAsia" w:cstheme="minorEastAsia"/>
          <w:sz w:val="21"/>
          <w:szCs w:val="21"/>
          <w:lang w:val="en-US"/>
        </w:rPr>
      </w:pPr>
      <w:r>
        <w:rPr>
          <w:rFonts w:hint="default"/>
          <w:sz w:val="21"/>
          <w:szCs w:val="21"/>
        </w:rPr>
        <w:t>In conclusion</w:t>
      </w:r>
      <w:r>
        <w:rPr>
          <w:rFonts w:hint="default"/>
          <w:sz w:val="21"/>
          <w:szCs w:val="21"/>
          <w:lang w:val="en-US"/>
        </w:rPr>
        <w:t xml:space="preserve">, </w:t>
      </w:r>
      <w:r>
        <w:rPr>
          <w:sz w:val="21"/>
          <w:szCs w:val="21"/>
          <w:lang w:val="en-US" w:eastAsia="zh-CN"/>
        </w:rPr>
        <w:t xml:space="preserve">the choice of which blockchain to use for deploying a dApp will be influenced by </w:t>
      </w:r>
      <w:r>
        <w:rPr>
          <w:rFonts w:hint="default"/>
          <w:sz w:val="21"/>
          <w:szCs w:val="21"/>
        </w:rPr>
        <w:t xml:space="preserve">the specific needs and requirements of the project. </w:t>
      </w:r>
      <w:r>
        <w:rPr>
          <w:rFonts w:hint="default"/>
          <w:sz w:val="21"/>
          <w:szCs w:val="21"/>
          <w:lang w:val="en-US"/>
        </w:rPr>
        <w:t xml:space="preserve">The </w:t>
      </w:r>
      <w:r>
        <w:rPr>
          <w:rFonts w:hint="default"/>
          <w:sz w:val="21"/>
          <w:szCs w:val="21"/>
        </w:rPr>
        <w:t>client should carefully evaluate each of the factors listed above and weigh the advantages and disadvantages of each blockchain before making a decision.</w:t>
      </w:r>
    </w:p>
    <w:p>
      <w:pPr>
        <w:bidi w:val="0"/>
        <w:spacing w:line="360" w:lineRule="auto"/>
        <w:jc w:val="both"/>
        <w:rPr>
          <w:rFonts w:hint="eastAsia" w:asciiTheme="minorEastAsia" w:hAnsiTheme="minorEastAsia" w:eastAsiaTheme="minorEastAsia" w:cstheme="minorEastAsia"/>
          <w:sz w:val="21"/>
          <w:szCs w:val="21"/>
          <w:lang w:val="en-US"/>
        </w:rPr>
      </w:pPr>
    </w:p>
    <w:p>
      <w:pPr>
        <w:bidi w:val="0"/>
        <w:spacing w:line="360" w:lineRule="auto"/>
        <w:jc w:val="both"/>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b/>
          <w:bCs/>
          <w:sz w:val="21"/>
          <w:szCs w:val="21"/>
          <w:lang w:val="en-US"/>
        </w:rPr>
        <w:t>Answer # 2 -</w:t>
      </w:r>
    </w:p>
    <w:p>
      <w:pPr>
        <w:spacing w:line="360" w:lineRule="auto"/>
        <w:jc w:val="both"/>
        <w:rPr>
          <w:sz w:val="21"/>
          <w:szCs w:val="21"/>
          <w:lang w:val="en-US" w:eastAsia="zh-CN"/>
        </w:rPr>
      </w:pPr>
      <w:r>
        <w:rPr>
          <w:sz w:val="21"/>
          <w:szCs w:val="21"/>
          <w:lang w:val="en-US" w:eastAsia="zh-CN"/>
        </w:rPr>
        <w:t xml:space="preserve">While DAOs offer many benefits such as transparency, reduced transfer fees, and collective decision-making, there are also some disadvantages to consider. </w:t>
      </w:r>
    </w:p>
    <w:p>
      <w:pPr>
        <w:numPr>
          <w:ilvl w:val="0"/>
          <w:numId w:val="2"/>
        </w:numPr>
        <w:spacing w:line="360" w:lineRule="auto"/>
        <w:ind w:left="420" w:leftChars="0" w:hanging="420" w:firstLineChars="0"/>
        <w:jc w:val="both"/>
        <w:rPr>
          <w:sz w:val="21"/>
          <w:szCs w:val="21"/>
          <w:lang w:val="en-US" w:eastAsia="zh-CN"/>
        </w:rPr>
      </w:pPr>
      <w:r>
        <w:rPr>
          <w:sz w:val="21"/>
          <w:szCs w:val="21"/>
          <w:lang w:val="en-US" w:eastAsia="zh-CN"/>
        </w:rPr>
        <w:t>One of the main disadvantages is that DAOs can be vulnerable to attacks, as seen in the infamous DAO hack in 2016, where an attacker exploited a vulnerability in the DAO's smart contract and stole millions of dollars worth of ether. Additionally, DAOs can be difficult to manage and require a high level of technical knowledge to operate, which can limit their accessibility to the general public.</w:t>
      </w:r>
    </w:p>
    <w:p>
      <w:pPr>
        <w:spacing w:line="360" w:lineRule="auto"/>
        <w:jc w:val="both"/>
        <w:rPr>
          <w:sz w:val="21"/>
          <w:szCs w:val="21"/>
          <w:lang w:val="en-US" w:eastAsia="zh-CN"/>
        </w:rPr>
      </w:pPr>
    </w:p>
    <w:p>
      <w:pPr>
        <w:numPr>
          <w:ilvl w:val="0"/>
          <w:numId w:val="2"/>
        </w:numPr>
        <w:spacing w:line="360" w:lineRule="auto"/>
        <w:ind w:left="420" w:leftChars="0" w:hanging="420" w:firstLineChars="0"/>
        <w:jc w:val="both"/>
        <w:rPr>
          <w:sz w:val="21"/>
          <w:szCs w:val="21"/>
        </w:rPr>
      </w:pPr>
      <w:r>
        <w:rPr>
          <w:rFonts w:hint="default"/>
          <w:sz w:val="21"/>
          <w:szCs w:val="21"/>
          <w:lang w:val="en-US" w:eastAsia="zh-CN"/>
        </w:rPr>
        <w:t xml:space="preserve">Another </w:t>
      </w:r>
      <w:r>
        <w:rPr>
          <w:sz w:val="21"/>
          <w:szCs w:val="21"/>
          <w:lang w:val="en-US" w:eastAsia="zh-CN"/>
        </w:rPr>
        <w:t>potential disadvantage is that DAOs can be more difficult to govern and manage than traditional organizations, as decision-making is decentralized and based on collective voting. This can lead to slow decision-making and difficulty in enforcing decisions.</w:t>
      </w:r>
    </w:p>
    <w:p>
      <w:pPr>
        <w:spacing w:line="360" w:lineRule="auto"/>
        <w:jc w:val="both"/>
        <w:rPr>
          <w:sz w:val="21"/>
          <w:szCs w:val="21"/>
          <w:lang w:val="en-US" w:eastAsia="zh-CN"/>
        </w:rPr>
      </w:pPr>
    </w:p>
    <w:p>
      <w:pPr>
        <w:spacing w:line="360" w:lineRule="auto"/>
        <w:jc w:val="both"/>
        <w:rPr>
          <w:rFonts w:hint="default"/>
          <w:sz w:val="21"/>
          <w:szCs w:val="21"/>
          <w:lang w:val="en-US" w:eastAsia="zh-CN"/>
        </w:rPr>
      </w:pPr>
      <w:r>
        <w:rPr>
          <w:sz w:val="21"/>
          <w:szCs w:val="21"/>
          <w:lang w:val="en-US" w:eastAsia="zh-CN"/>
        </w:rPr>
        <w:t>Additionally, DAOs may not be suitable for organizations that rely heavily on a central authority to function. For example</w:t>
      </w:r>
      <w:r>
        <w:rPr>
          <w:rFonts w:hint="default"/>
          <w:sz w:val="21"/>
          <w:szCs w:val="21"/>
          <w:lang w:val="en-US" w:eastAsia="zh-CN"/>
        </w:rPr>
        <w:t>:</w:t>
      </w:r>
    </w:p>
    <w:p>
      <w:pPr>
        <w:numPr>
          <w:ilvl w:val="0"/>
          <w:numId w:val="3"/>
        </w:numPr>
        <w:spacing w:line="360" w:lineRule="auto"/>
        <w:ind w:left="425" w:leftChars="0" w:hanging="425" w:firstLineChars="0"/>
        <w:jc w:val="both"/>
        <w:rPr>
          <w:rFonts w:hint="default"/>
          <w:sz w:val="21"/>
          <w:szCs w:val="21"/>
          <w:lang w:val="en-US" w:eastAsia="zh-CN"/>
        </w:rPr>
      </w:pPr>
      <w:r>
        <w:rPr>
          <w:rFonts w:hint="default"/>
          <w:sz w:val="21"/>
          <w:szCs w:val="21"/>
          <w:lang w:val="en-US" w:eastAsia="zh-CN"/>
        </w:rPr>
        <w:t>A</w:t>
      </w:r>
      <w:r>
        <w:rPr>
          <w:sz w:val="21"/>
          <w:szCs w:val="21"/>
          <w:lang w:val="en-US" w:eastAsia="zh-CN"/>
        </w:rPr>
        <w:t xml:space="preserve"> government agency that requires strict hierarchical decision-making and compliance may not be suited for a DAO implementation.</w:t>
      </w:r>
      <w:r>
        <w:rPr>
          <w:rFonts w:hint="default"/>
          <w:sz w:val="21"/>
          <w:szCs w:val="21"/>
          <w:lang w:val="en-US" w:eastAsia="zh-CN"/>
        </w:rPr>
        <w:t xml:space="preserve"> </w:t>
      </w:r>
    </w:p>
    <w:p>
      <w:pPr>
        <w:numPr>
          <w:ilvl w:val="0"/>
          <w:numId w:val="3"/>
        </w:numPr>
        <w:spacing w:line="360" w:lineRule="auto"/>
        <w:ind w:left="425" w:leftChars="0" w:hanging="425" w:firstLineChars="0"/>
        <w:jc w:val="both"/>
        <w:rPr>
          <w:sz w:val="21"/>
          <w:szCs w:val="21"/>
          <w:lang w:val="en-US" w:eastAsia="zh-CN"/>
        </w:rPr>
      </w:pPr>
      <w:r>
        <w:rPr>
          <w:rFonts w:hint="default"/>
          <w:sz w:val="21"/>
          <w:szCs w:val="21"/>
          <w:lang w:val="en-US" w:eastAsia="zh-CN"/>
        </w:rPr>
        <w:t xml:space="preserve">Another example can be </w:t>
      </w:r>
      <w:r>
        <w:rPr>
          <w:sz w:val="21"/>
          <w:szCs w:val="21"/>
          <w:lang w:val="en-US" w:eastAsia="zh-CN"/>
        </w:rPr>
        <w:t xml:space="preserve">a military organization that requires strict hierarchical structures and a clear chain of command may not be well-suited for a DAO model. </w:t>
      </w:r>
    </w:p>
    <w:p>
      <w:pPr>
        <w:numPr>
          <w:ilvl w:val="0"/>
          <w:numId w:val="3"/>
        </w:numPr>
        <w:spacing w:line="360" w:lineRule="auto"/>
        <w:ind w:left="425" w:leftChars="0" w:hanging="425" w:firstLineChars="0"/>
        <w:jc w:val="both"/>
        <w:rPr>
          <w:rFonts w:hint="eastAsia" w:asciiTheme="minorEastAsia" w:hAnsiTheme="minorEastAsia" w:eastAsiaTheme="minorEastAsia" w:cstheme="minorEastAsia"/>
          <w:sz w:val="21"/>
          <w:szCs w:val="21"/>
          <w:lang w:val="en-US"/>
        </w:rPr>
      </w:pPr>
      <w:r>
        <w:rPr>
          <w:sz w:val="21"/>
          <w:szCs w:val="21"/>
          <w:lang w:val="en-US" w:eastAsia="zh-CN"/>
        </w:rPr>
        <w:t>Similarly, a company that relies on a CEO or board of directors to make major strategic decisions may struggle to adapt to a DAO structure where decision-making is more decentralized.</w:t>
      </w:r>
    </w:p>
    <w:p>
      <w:pPr>
        <w:bidi w:val="0"/>
        <w:spacing w:line="360" w:lineRule="auto"/>
        <w:jc w:val="both"/>
        <w:rPr>
          <w:sz w:val="21"/>
          <w:szCs w:val="21"/>
        </w:rPr>
      </w:pPr>
      <w:r>
        <w:rPr>
          <w:rFonts w:hint="eastAsia" w:asciiTheme="minorEastAsia" w:hAnsiTheme="minorEastAsia" w:eastAsiaTheme="minorEastAsia" w:cstheme="minorEastAsia"/>
          <w:b/>
          <w:bCs/>
          <w:sz w:val="21"/>
          <w:szCs w:val="21"/>
          <w:lang w:val="en-US"/>
        </w:rPr>
        <w:t>Answer # 3 -</w:t>
      </w:r>
    </w:p>
    <w:p>
      <w:pPr>
        <w:numPr>
          <w:ilvl w:val="0"/>
          <w:numId w:val="4"/>
        </w:numPr>
        <w:tabs>
          <w:tab w:val="clear" w:pos="420"/>
        </w:tabs>
        <w:spacing w:line="360" w:lineRule="auto"/>
        <w:ind w:left="420" w:leftChars="0" w:hanging="420" w:firstLineChars="0"/>
        <w:rPr>
          <w:sz w:val="21"/>
          <w:szCs w:val="21"/>
        </w:rPr>
      </w:pPr>
      <w:r>
        <w:rPr>
          <w:b/>
          <w:bCs/>
          <w:sz w:val="21"/>
          <w:szCs w:val="21"/>
        </w:rPr>
        <w:t>Access Restriction:</w:t>
      </w:r>
      <w:r>
        <w:rPr>
          <w:sz w:val="21"/>
          <w:szCs w:val="21"/>
        </w:rPr>
        <w:t xml:space="preserve"> This pattern is used to restrict access to certain functions in a smart contract based on the role of the user. It involves setting up roles and permissions and using require statements to check whether the user has the required role before executing certain functions. This can prevent unauthorized users from accessing sensitive functions, such as administrative functions or functions that modify the contract's state.</w:t>
      </w:r>
    </w:p>
    <w:p>
      <w:pPr>
        <w:numPr>
          <w:ilvl w:val="0"/>
          <w:numId w:val="4"/>
        </w:numPr>
        <w:tabs>
          <w:tab w:val="clear" w:pos="420"/>
        </w:tabs>
        <w:spacing w:line="360" w:lineRule="auto"/>
        <w:ind w:left="420" w:leftChars="0" w:hanging="420" w:firstLineChars="0"/>
        <w:rPr>
          <w:sz w:val="21"/>
          <w:szCs w:val="21"/>
        </w:rPr>
      </w:pPr>
      <w:r>
        <w:rPr>
          <w:b/>
          <w:bCs/>
          <w:sz w:val="21"/>
          <w:szCs w:val="21"/>
        </w:rPr>
        <w:t>Secure Ether Transfer:</w:t>
      </w:r>
      <w:r>
        <w:rPr>
          <w:sz w:val="21"/>
          <w:szCs w:val="21"/>
        </w:rPr>
        <w:t xml:space="preserve"> This pattern </w:t>
      </w:r>
      <w:r>
        <w:rPr>
          <w:rFonts w:hint="default"/>
          <w:sz w:val="21"/>
          <w:szCs w:val="21"/>
        </w:rPr>
        <w:t>is used to ensure safe and secure Ether transfers in smart contracts. The pattern implies using checks and balances to ensure that only authorized parties can invoke transfers and that only the correct amount is transferred. It also includes using the withdrawal pattern to protect against reentrancy attacks, where an attacker repeatedly calls a function and exploits the contract's vulnerable function.</w:t>
      </w:r>
    </w:p>
    <w:p>
      <w:pPr>
        <w:spacing w:line="360" w:lineRule="auto"/>
        <w:rPr>
          <w:sz w:val="21"/>
          <w:szCs w:val="21"/>
        </w:rPr>
      </w:pPr>
      <w:r>
        <w:rPr>
          <w:sz w:val="21"/>
          <w:szCs w:val="21"/>
          <w:lang w:val="en-US" w:eastAsia="zh-CN"/>
        </w:rPr>
        <w:t>These two patterns are among the most important Solidity security patterns because they address two critical security concerns: the safe transfer of funds and access control. By implementing these patterns, smart contract developers can greatly reduce the risk of hacks and attacks, and ensure that the smart contract functions as intended.</w:t>
      </w:r>
    </w:p>
    <w:p>
      <w:pPr>
        <w:bidi w:val="0"/>
        <w:spacing w:line="360" w:lineRule="auto"/>
        <w:jc w:val="both"/>
        <w:rPr>
          <w:rFonts w:hint="eastAsia" w:asciiTheme="minorEastAsia" w:hAnsiTheme="minorEastAsia" w:eastAsiaTheme="minorEastAsia" w:cstheme="minorEastAsia"/>
          <w:sz w:val="21"/>
          <w:szCs w:val="21"/>
          <w:lang w:val="en-US"/>
        </w:rPr>
      </w:pPr>
    </w:p>
    <w:p>
      <w:pPr>
        <w:bidi w:val="0"/>
        <w:spacing w:line="360" w:lineRule="auto"/>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bCs/>
          <w:sz w:val="21"/>
          <w:szCs w:val="21"/>
          <w:lang w:val="en-US" w:eastAsia="zh-CN"/>
        </w:rPr>
        <w:t>Answer # 4 -</w:t>
      </w:r>
    </w:p>
    <w:p>
      <w:pPr>
        <w:spacing w:line="360" w:lineRule="auto"/>
        <w:jc w:val="both"/>
        <w:rPr>
          <w:sz w:val="21"/>
          <w:szCs w:val="21"/>
          <w:lang w:val="en-US" w:eastAsia="zh-CN"/>
        </w:rPr>
      </w:pPr>
      <w:r>
        <w:rPr>
          <w:sz w:val="21"/>
          <w:szCs w:val="21"/>
          <w:lang w:val="en-US" w:eastAsia="zh-CN"/>
        </w:rPr>
        <w:t>One of the most commonly used design patterns in Solidity is the "Guard Check" pattern. Its purpose is to ensure that smart contracts avoid making unintended changes to their state by verifying specific conditions before executing certain functions. This is achieved by incorporating a "require" statement within the function, which tests whether a condition is true or not. If the condition evaluates to false, the function will abort immediately and any changes made to the state will be rolled back. This pattern is widely regarded as a best practice in Solidity development, as it enhances the security and reliability of smart contracts.</w:t>
      </w:r>
    </w:p>
    <w:p>
      <w:pPr>
        <w:spacing w:line="360" w:lineRule="auto"/>
        <w:jc w:val="both"/>
        <w:rPr>
          <w:sz w:val="21"/>
          <w:szCs w:val="21"/>
          <w:lang w:val="en-US" w:eastAsia="zh-CN"/>
        </w:rPr>
      </w:pPr>
    </w:p>
    <w:p>
      <w:pPr>
        <w:spacing w:line="360" w:lineRule="auto"/>
        <w:jc w:val="both"/>
        <w:rPr>
          <w:sz w:val="21"/>
          <w:szCs w:val="21"/>
          <w:lang w:val="en-US" w:eastAsia="zh-CN"/>
        </w:rPr>
      </w:pPr>
      <w:r>
        <w:rPr>
          <w:sz w:val="21"/>
          <w:szCs w:val="21"/>
          <w:lang w:val="en-US" w:eastAsia="zh-CN"/>
        </w:rPr>
        <w:t xml:space="preserve">For example, if a function requires that only the contract owner can perform a certain action, the Guard Check pattern can be used to ensure that no one else can execute the function. The function can start with a </w:t>
      </w:r>
      <w:r>
        <w:rPr>
          <w:rFonts w:hint="default"/>
          <w:sz w:val="21"/>
          <w:szCs w:val="21"/>
          <w:lang w:val="en-US" w:eastAsia="zh-CN"/>
        </w:rPr>
        <w:t>“</w:t>
      </w:r>
      <w:r>
        <w:rPr>
          <w:sz w:val="21"/>
          <w:szCs w:val="21"/>
          <w:lang w:val="en-US" w:eastAsia="zh-CN"/>
        </w:rPr>
        <w:t>require</w:t>
      </w:r>
      <w:r>
        <w:rPr>
          <w:rFonts w:hint="default"/>
          <w:sz w:val="21"/>
          <w:szCs w:val="21"/>
          <w:lang w:val="en-US" w:eastAsia="zh-CN"/>
        </w:rPr>
        <w:t>”</w:t>
      </w:r>
      <w:r>
        <w:rPr>
          <w:sz w:val="21"/>
          <w:szCs w:val="21"/>
          <w:lang w:val="en-US" w:eastAsia="zh-CN"/>
        </w:rPr>
        <w:t xml:space="preserve"> statement that checks if the caller is the contract owner. If the condition is not met, the function will be aborted and any state changes that might have occurred will be reverted, preventing unauthorized access.</w:t>
      </w:r>
    </w:p>
    <w:p>
      <w:pPr>
        <w:spacing w:line="360" w:lineRule="auto"/>
        <w:jc w:val="both"/>
        <w:rPr>
          <w:sz w:val="21"/>
          <w:szCs w:val="21"/>
          <w:lang w:val="en-US" w:eastAsia="zh-CN"/>
        </w:rPr>
      </w:pPr>
    </w:p>
    <w:p>
      <w:pPr>
        <w:spacing w:line="360" w:lineRule="auto"/>
        <w:jc w:val="both"/>
        <w:rPr>
          <w:sz w:val="21"/>
          <w:szCs w:val="21"/>
        </w:rPr>
      </w:pPr>
      <w:r>
        <w:rPr>
          <w:sz w:val="21"/>
          <w:szCs w:val="21"/>
          <w:lang w:val="en-US" w:eastAsia="zh-CN"/>
        </w:rPr>
        <w:t>The Guard Check pattern has several advantages, including improved security and a lower risk of unintentional changes to the state of the smart contract. By performing checks on specific conditions before executing a function, this pattern helps to ensure that the contract behaves as intended and maintains a consistent state. Additionally, it can be used to prevent malicious attacks such as reentrancy attacks, which involve an attacker repeatedly calling a function to exploit a vulnerability and manipulate the contract's state. Overall, the Guard Check pattern is widely recognized as a best practice for Solidity development and is essential for creating secure and reliable smart contracts.</w:t>
      </w:r>
    </w:p>
    <w:p>
      <w:pPr>
        <w:spacing w:line="360" w:lineRule="auto"/>
        <w:jc w:val="both"/>
        <w:rPr>
          <w:sz w:val="21"/>
          <w:szCs w:val="21"/>
          <w:lang w:val="en-US" w:eastAsia="zh-CN"/>
        </w:rPr>
      </w:pPr>
    </w:p>
    <w:p>
      <w:pPr>
        <w:spacing w:line="360" w:lineRule="auto"/>
        <w:jc w:val="both"/>
        <w:rPr>
          <w:sz w:val="21"/>
          <w:szCs w:val="21"/>
        </w:rPr>
      </w:pPr>
    </w:p>
    <w:p>
      <w:pPr>
        <w:bidi w:val="0"/>
        <w:spacing w:line="360" w:lineRule="auto"/>
        <w:jc w:val="both"/>
        <w:rPr>
          <w:rFonts w:hint="eastAsia" w:asciiTheme="minorEastAsia" w:hAnsiTheme="minorEastAsia" w:eastAsiaTheme="minorEastAsia" w:cstheme="minorEastAsia"/>
          <w:sz w:val="21"/>
          <w:szCs w:val="21"/>
          <w:lang w:val="en-US" w:eastAsia="zh-CN"/>
        </w:rPr>
      </w:pPr>
    </w:p>
    <w:p>
      <w:pPr>
        <w:bidi w:val="0"/>
        <w:spacing w:line="360" w:lineRule="auto"/>
        <w:jc w:val="both"/>
        <w:rPr>
          <w:rFonts w:hint="eastAsia" w:asciiTheme="minorEastAsia" w:hAnsiTheme="minorEastAsia" w:eastAsiaTheme="minorEastAsia" w:cstheme="minorEastAsia"/>
          <w:sz w:val="21"/>
          <w:szCs w:val="21"/>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Ubuntu">
    <w:panose1 w:val="020B0504030602030204"/>
    <w:charset w:val="00"/>
    <w:family w:val="auto"/>
    <w:pitch w:val="default"/>
    <w:sig w:usb0="E00002FF" w:usb1="5000205B" w:usb2="00000000" w:usb3="00000000" w:csb0="2000009F" w:csb1="56010000"/>
  </w:font>
  <w:font w:name="Calibri Light">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Century Schoolbook L">
    <w:panose1 w:val="00000000000000000000"/>
    <w:charset w:val="00"/>
    <w:family w:val="auto"/>
    <w:pitch w:val="default"/>
    <w:sig w:usb0="00000000" w:usb1="00000000" w:usb2="00000000" w:usb3="00000000" w:csb0="00000000" w:csb1="00000000"/>
  </w:font>
  <w:font w:name="Gargi">
    <w:panose1 w:val="02000506000000000000"/>
    <w:charset w:val="00"/>
    <w:family w:val="auto"/>
    <w:pitch w:val="default"/>
    <w:sig w:usb0="00008001" w:usb1="00000000" w:usb2="00000000" w:usb3="00000000" w:csb0="00000000" w:csb1="00000000"/>
  </w:font>
  <w:font w:name="KacstOffice">
    <w:panose1 w:val="02000000000000000000"/>
    <w:charset w:val="00"/>
    <w:family w:val="auto"/>
    <w:pitch w:val="default"/>
    <w:sig w:usb0="00002000" w:usb1="00000000" w:usb2="00000000" w:usb3="00000000" w:csb0="00000040"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ED8CE8"/>
    <w:multiLevelType w:val="singleLevel"/>
    <w:tmpl w:val="B4ED8CE8"/>
    <w:lvl w:ilvl="0" w:tentative="0">
      <w:start w:val="1"/>
      <w:numFmt w:val="decimal"/>
      <w:lvlText w:val="%1."/>
      <w:lvlJc w:val="left"/>
      <w:pPr>
        <w:tabs>
          <w:tab w:val="left" w:pos="425"/>
        </w:tabs>
        <w:ind w:left="425" w:leftChars="0" w:hanging="425" w:firstLineChars="0"/>
      </w:pPr>
      <w:rPr>
        <w:rFonts w:hint="default"/>
      </w:rPr>
    </w:lvl>
  </w:abstractNum>
  <w:abstractNum w:abstractNumId="1">
    <w:nsid w:val="E5FF5660"/>
    <w:multiLevelType w:val="singleLevel"/>
    <w:tmpl w:val="E5FF56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F7B5990"/>
    <w:multiLevelType w:val="singleLevel"/>
    <w:tmpl w:val="FF7B5990"/>
    <w:lvl w:ilvl="0" w:tentative="0">
      <w:start w:val="1"/>
      <w:numFmt w:val="decimal"/>
      <w:lvlText w:val="%1."/>
      <w:lvlJc w:val="left"/>
      <w:pPr>
        <w:tabs>
          <w:tab w:val="left" w:pos="425"/>
        </w:tabs>
        <w:ind w:left="425" w:leftChars="0" w:hanging="425" w:firstLineChars="0"/>
      </w:pPr>
      <w:rPr>
        <w:rFonts w:hint="default"/>
      </w:rPr>
    </w:lvl>
  </w:abstractNum>
  <w:abstractNum w:abstractNumId="3">
    <w:nsid w:val="3FFD9789"/>
    <w:multiLevelType w:val="singleLevel"/>
    <w:tmpl w:val="3FFD978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F754A"/>
    <w:rsid w:val="378B9A80"/>
    <w:rsid w:val="38F77E14"/>
    <w:rsid w:val="47FF03EF"/>
    <w:rsid w:val="65FF754A"/>
    <w:rsid w:val="66D739AD"/>
    <w:rsid w:val="77677F1A"/>
    <w:rsid w:val="7DFF2813"/>
    <w:rsid w:val="BF1FBF3A"/>
    <w:rsid w:val="BFE5BCD4"/>
    <w:rsid w:val="D4BF7259"/>
    <w:rsid w:val="EEBEB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paragraph" w:styleId="5">
    <w:name w:val=""/>
    <w:basedOn w:val="1"/>
    <w:next w:val="1"/>
    <w:uiPriority w:val="0"/>
    <w:pPr>
      <w:pBdr>
        <w:bottom w:val="single" w:color="auto" w:sz="6" w:space="1"/>
      </w:pBdr>
      <w:jc w:val="center"/>
    </w:pPr>
    <w:rPr>
      <w:rFonts w:ascii="Arial" w:eastAsia="SimSun"/>
      <w:vanish/>
      <w:sz w:val="16"/>
    </w:rPr>
  </w:style>
  <w:style w:type="paragraph" w:styleId="6">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2023-04-02T15:10:00Z</dcterms:created>
  <dc:creator>shakeel</dc:creator>
  <cp:lastModifiedBy>shakeel</cp:lastModifiedBy>
  <dcterms:modified xsi:type="dcterms:W3CDTF">2023-04-02T17:45:33Z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