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6C148">
      <w:pPr>
        <w:pStyle w:val="36"/>
        <w:jc w:val="both"/>
        <w:rPr>
          <w:rFonts w:hint="default" w:ascii="Times New Roman" w:hAnsi="Times New Roman" w:cs="Times New Roman"/>
          <w:color w:val="632523" w:themeColor="accent2" w:themeShade="80"/>
        </w:rPr>
      </w:pPr>
      <w:bookmarkStart w:id="0" w:name="_GoBack"/>
      <w:bookmarkEnd w:id="0"/>
      <w:r>
        <w:rPr>
          <w:rFonts w:hint="default" w:ascii="Times New Roman" w:hAnsi="Times New Roman" w:cs="Times New Roman"/>
          <w:color w:val="632523" w:themeColor="accent2" w:themeShade="80"/>
        </w:rPr>
        <w:t>Playwright Capstone Project</w:t>
      </w:r>
    </w:p>
    <w:p w14:paraId="61847582">
      <w:pPr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Author: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Shi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ny Belsiya 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Website:</w:t>
      </w:r>
      <w:r>
        <w:rPr>
          <w:rFonts w:hint="default" w:ascii="Times New Roman" w:hAnsi="Times New Roman" w:cs="Times New Roman"/>
          <w:sz w:val="24"/>
          <w:szCs w:val="24"/>
        </w:rPr>
        <w:t xml:space="preserve"> https://www.ajio.com</w:t>
      </w:r>
    </w:p>
    <w:p w14:paraId="1275A26E">
      <w:pPr>
        <w:pStyle w:val="2"/>
        <w:jc w:val="both"/>
        <w:rPr>
          <w:rFonts w:hint="default" w:ascii="Times New Roman" w:hAnsi="Times New Roman" w:cs="Times New Roman"/>
          <w:color w:val="8064A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Times New Roman" w:hAnsi="Times New Roman" w:cs="Times New Roman"/>
          <w:color w:val="8064A2" w:themeColor="accent4"/>
          <w14:textFill>
            <w14:solidFill>
              <w14:schemeClr w14:val="accent4"/>
            </w14:solidFill>
          </w14:textFill>
        </w:rPr>
        <w:t>TECHNOLOGY STACK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5305A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76B50E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2880" w:type="dxa"/>
          </w:tcPr>
          <w:p w14:paraId="7CC85F1A">
            <w:p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2880" w:type="dxa"/>
          </w:tcPr>
          <w:p w14:paraId="5FDA778E">
            <w:p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Usage</w:t>
            </w:r>
          </w:p>
        </w:tc>
      </w:tr>
      <w:tr w14:paraId="2DA1F0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05FEF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Playwright + JavaScript</w:t>
            </w:r>
          </w:p>
        </w:tc>
        <w:tc>
          <w:tcPr>
            <w:tcW w:w="2880" w:type="dxa"/>
          </w:tcPr>
          <w:p w14:paraId="0BCE392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Automation</w:t>
            </w:r>
          </w:p>
        </w:tc>
        <w:tc>
          <w:tcPr>
            <w:tcW w:w="2880" w:type="dxa"/>
          </w:tcPr>
          <w:p w14:paraId="3CCA505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Search, filters, cart workflows</w:t>
            </w:r>
          </w:p>
        </w:tc>
      </w:tr>
      <w:tr w14:paraId="1A56C8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147795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Node.js</w:t>
            </w:r>
          </w:p>
        </w:tc>
        <w:tc>
          <w:tcPr>
            <w:tcW w:w="2880" w:type="dxa"/>
          </w:tcPr>
          <w:p w14:paraId="575FFE18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Runtime</w:t>
            </w:r>
          </w:p>
        </w:tc>
        <w:tc>
          <w:tcPr>
            <w:tcW w:w="2880" w:type="dxa"/>
          </w:tcPr>
          <w:p w14:paraId="0C7B843B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Dependency management</w:t>
            </w:r>
          </w:p>
        </w:tc>
      </w:tr>
      <w:tr w14:paraId="642AF6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4D52C5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GitHub Actions</w:t>
            </w:r>
          </w:p>
        </w:tc>
        <w:tc>
          <w:tcPr>
            <w:tcW w:w="2880" w:type="dxa"/>
          </w:tcPr>
          <w:p w14:paraId="0303E356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CI/CD</w:t>
            </w:r>
          </w:p>
        </w:tc>
        <w:tc>
          <w:tcPr>
            <w:tcW w:w="2880" w:type="dxa"/>
          </w:tcPr>
          <w:p w14:paraId="30E420E1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Workflow execution</w:t>
            </w:r>
          </w:p>
        </w:tc>
      </w:tr>
      <w:tr w14:paraId="400FB0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643515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HTML Reports</w:t>
            </w:r>
          </w:p>
        </w:tc>
        <w:tc>
          <w:tcPr>
            <w:tcW w:w="2880" w:type="dxa"/>
          </w:tcPr>
          <w:p w14:paraId="3FD42B0F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Reporting</w:t>
            </w:r>
          </w:p>
        </w:tc>
        <w:tc>
          <w:tcPr>
            <w:tcW w:w="2880" w:type="dxa"/>
          </w:tcPr>
          <w:p w14:paraId="57A6A038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Debugging and evidence</w:t>
            </w:r>
          </w:p>
        </w:tc>
      </w:tr>
      <w:tr w14:paraId="63351C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E6ED4A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Cross-browser</w:t>
            </w:r>
          </w:p>
        </w:tc>
        <w:tc>
          <w:tcPr>
            <w:tcW w:w="2880" w:type="dxa"/>
          </w:tcPr>
          <w:p w14:paraId="535CA803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Compatibility</w:t>
            </w:r>
          </w:p>
        </w:tc>
        <w:tc>
          <w:tcPr>
            <w:tcW w:w="2880" w:type="dxa"/>
          </w:tcPr>
          <w:p w14:paraId="2E4F1322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Chromium/Firefox validation</w:t>
            </w:r>
          </w:p>
        </w:tc>
      </w:tr>
    </w:tbl>
    <w:p w14:paraId="14A259DB">
      <w:pPr>
        <w:pStyle w:val="2"/>
        <w:jc w:val="both"/>
        <w:rPr>
          <w:rFonts w:hint="default" w:ascii="Times New Roman" w:hAnsi="Times New Roman" w:cs="Times New Roman"/>
          <w:color w:val="8064A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Times New Roman" w:hAnsi="Times New Roman" w:cs="Times New Roman"/>
          <w:color w:val="8064A2" w:themeColor="accent4"/>
          <w14:textFill>
            <w14:solidFill>
              <w14:schemeClr w14:val="accent4"/>
            </w14:solidFill>
          </w14:textFill>
        </w:rPr>
        <w:t>FUNCTIONAL AREAS COVERED</w:t>
      </w:r>
    </w:p>
    <w:p w14:paraId="531E0850">
      <w:pPr>
        <w:pStyle w:val="2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Search workflows validate keyword input and suggestion behavior.</w:t>
      </w:r>
    </w:p>
    <w:p w14:paraId="0D7E8F45">
      <w:pPr>
        <w:pStyle w:val="2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Filter scenarios verify category, price, and brand refinement accuracy.</w:t>
      </w:r>
    </w:p>
    <w:p w14:paraId="43B2803B">
      <w:pPr>
        <w:pStyle w:val="2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Cart operations examine quantity changes and persistence after refresh.</w:t>
      </w:r>
    </w:p>
    <w:p w14:paraId="0F7ADD7E">
      <w:pPr>
        <w:pStyle w:val="2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Coupon validation checks promotional availability and behavior.</w:t>
      </w:r>
    </w:p>
    <w:p w14:paraId="0A6BBEB8">
      <w:pPr>
        <w:pStyle w:val="2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API monitoring tracks network responses linked to search interactions.</w:t>
      </w:r>
    </w:p>
    <w:p w14:paraId="219F96E6">
      <w:pPr>
        <w:pStyle w:val="2"/>
        <w:jc w:val="both"/>
        <w:rPr>
          <w:rFonts w:hint="default" w:ascii="Times New Roman" w:hAnsi="Times New Roman" w:cs="Times New Roman"/>
          <w:color w:val="8064A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Times New Roman" w:hAnsi="Times New Roman" w:cs="Times New Roman"/>
          <w:color w:val="8064A2" w:themeColor="accent4"/>
          <w14:textFill>
            <w14:solidFill>
              <w14:schemeClr w14:val="accent4"/>
            </w14:solidFill>
          </w14:textFill>
        </w:rPr>
        <w:t>FRAMEWORK CAPABILITIES</w:t>
      </w:r>
    </w:p>
    <w:p w14:paraId="0C3B99CD">
      <w:pPr>
        <w:pStyle w:val="2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Reusable Page Object Model simplifies maintenance for dashboard journeys.</w:t>
      </w:r>
    </w:p>
    <w:p w14:paraId="237C1E57">
      <w:pPr>
        <w:pStyle w:val="2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Dynamic locators support changing product layouts and filters.</w:t>
      </w:r>
    </w:p>
    <w:p w14:paraId="45B3E6FA">
      <w:pPr>
        <w:pStyle w:val="2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Parallel execution reduces total regression time.</w:t>
      </w:r>
    </w:p>
    <w:p w14:paraId="264FC7EC">
      <w:pPr>
        <w:pStyle w:val="2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Screenshots capture failures during cart or search validations.</w:t>
      </w:r>
    </w:p>
    <w:p w14:paraId="79F95488">
      <w:pPr>
        <w:pStyle w:val="2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Trace generation provides detailed execution evidence.</w:t>
      </w:r>
    </w:p>
    <w:p w14:paraId="33EE2B82">
      <w:pPr>
        <w:pStyle w:val="2"/>
        <w:jc w:val="both"/>
        <w:rPr>
          <w:rFonts w:hint="default" w:ascii="Times New Roman" w:hAnsi="Times New Roman" w:cs="Times New Roman"/>
          <w:color w:val="8064A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Times New Roman" w:hAnsi="Times New Roman" w:cs="Times New Roman"/>
          <w:color w:val="8064A2" w:themeColor="accent4"/>
          <w14:textFill>
            <w14:solidFill>
              <w14:schemeClr w14:val="accent4"/>
            </w14:solidFill>
          </w14:textFill>
        </w:rPr>
        <w:t>PRIMARY OBJECTIVES</w:t>
      </w:r>
    </w:p>
    <w:p w14:paraId="549DCB00">
      <w:pPr>
        <w:pStyle w:val="2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Reduce repetitive manual testing for common customer journeys.</w:t>
      </w:r>
    </w:p>
    <w:p w14:paraId="7C602E1A">
      <w:pPr>
        <w:pStyle w:val="2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Increase regression speed for search, filter, and session scenarios.</w:t>
      </w:r>
    </w:p>
    <w:p w14:paraId="12683091">
      <w:pPr>
        <w:pStyle w:val="2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Improve defect detection through assertions and API interception.</w:t>
      </w:r>
    </w:p>
    <w:p w14:paraId="2595501E">
      <w:pPr>
        <w:pStyle w:val="2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Build reusable automation assets supporting long-term automation maintenance.</w:t>
      </w:r>
    </w:p>
    <w:p w14:paraId="4B502988">
      <w:pPr>
        <w:pStyle w:val="23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Strengthen reporting visibility for enterprise-scale testing.</w:t>
      </w:r>
    </w:p>
    <w:p w14:paraId="29DAD3C7">
      <w:pPr>
        <w:pStyle w:val="2"/>
        <w:jc w:val="both"/>
        <w:rPr>
          <w:rFonts w:hint="default" w:ascii="Times New Roman" w:hAnsi="Times New Roman" w:cs="Times New Roman"/>
          <w:color w:val="8064A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Times New Roman" w:hAnsi="Times New Roman" w:cs="Times New Roman"/>
          <w:color w:val="8064A2" w:themeColor="accent4"/>
          <w14:textFill>
            <w14:solidFill>
              <w14:schemeClr w14:val="accent4"/>
            </w14:solidFill>
          </w14:textFill>
        </w:rPr>
        <w:t>AUTOMATION DASHBOARD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03C2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B0A0BE">
            <w:p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Journey</w:t>
            </w:r>
          </w:p>
        </w:tc>
        <w:tc>
          <w:tcPr>
            <w:tcW w:w="2880" w:type="dxa"/>
          </w:tcPr>
          <w:p w14:paraId="39174C5C">
            <w:p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2880" w:type="dxa"/>
          </w:tcPr>
          <w:p w14:paraId="77192BF7">
            <w:pPr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Playwright Skill</w:t>
            </w:r>
          </w:p>
        </w:tc>
      </w:tr>
      <w:tr w14:paraId="2E0A5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69A829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Search</w:t>
            </w:r>
          </w:p>
        </w:tc>
        <w:tc>
          <w:tcPr>
            <w:tcW w:w="2880" w:type="dxa"/>
          </w:tcPr>
          <w:p w14:paraId="101760FB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Search by keyword</w:t>
            </w:r>
          </w:p>
        </w:tc>
        <w:tc>
          <w:tcPr>
            <w:tcW w:w="2880" w:type="dxa"/>
          </w:tcPr>
          <w:p w14:paraId="2BB2239C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Assertions + locators</w:t>
            </w:r>
          </w:p>
        </w:tc>
      </w:tr>
      <w:tr w14:paraId="2A26D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E4B03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Filters</w:t>
            </w:r>
          </w:p>
        </w:tc>
        <w:tc>
          <w:tcPr>
            <w:tcW w:w="2880" w:type="dxa"/>
          </w:tcPr>
          <w:p w14:paraId="2B9E274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Brand/price/category</w:t>
            </w:r>
          </w:p>
        </w:tc>
        <w:tc>
          <w:tcPr>
            <w:tcW w:w="2880" w:type="dxa"/>
          </w:tcPr>
          <w:p w14:paraId="2A9A7D7B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Dynamic locators</w:t>
            </w:r>
          </w:p>
        </w:tc>
      </w:tr>
      <w:tr w14:paraId="33F2A9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E98E598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Product</w:t>
            </w:r>
          </w:p>
        </w:tc>
        <w:tc>
          <w:tcPr>
            <w:tcW w:w="2880" w:type="dxa"/>
          </w:tcPr>
          <w:p w14:paraId="7872CA0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Open PDP &amp; validate</w:t>
            </w:r>
          </w:p>
        </w:tc>
        <w:tc>
          <w:tcPr>
            <w:tcW w:w="2880" w:type="dxa"/>
          </w:tcPr>
          <w:p w14:paraId="2C041B06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POM</w:t>
            </w:r>
          </w:p>
        </w:tc>
      </w:tr>
      <w:tr w14:paraId="29689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2598A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Wishlist</w:t>
            </w:r>
          </w:p>
        </w:tc>
        <w:tc>
          <w:tcPr>
            <w:tcW w:w="2880" w:type="dxa"/>
          </w:tcPr>
          <w:p w14:paraId="2A74FFA2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Save item</w:t>
            </w:r>
          </w:p>
        </w:tc>
        <w:tc>
          <w:tcPr>
            <w:tcW w:w="2880" w:type="dxa"/>
          </w:tcPr>
          <w:p w14:paraId="4EFF0F3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State checks</w:t>
            </w:r>
          </w:p>
        </w:tc>
      </w:tr>
      <w:tr w14:paraId="655DA7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881E0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Cart</w:t>
            </w:r>
          </w:p>
        </w:tc>
        <w:tc>
          <w:tcPr>
            <w:tcW w:w="2880" w:type="dxa"/>
          </w:tcPr>
          <w:p w14:paraId="186D9837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Add/remove/update qty</w:t>
            </w:r>
          </w:p>
        </w:tc>
        <w:tc>
          <w:tcPr>
            <w:tcW w:w="2880" w:type="dxa"/>
          </w:tcPr>
          <w:p w14:paraId="7E82E5B1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Assertions</w:t>
            </w:r>
          </w:p>
        </w:tc>
      </w:tr>
      <w:tr w14:paraId="053DB7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ABF06F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Coupons</w:t>
            </w:r>
          </w:p>
        </w:tc>
        <w:tc>
          <w:tcPr>
            <w:tcW w:w="2880" w:type="dxa"/>
          </w:tcPr>
          <w:p w14:paraId="33AFE10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Promo availability</w:t>
            </w:r>
          </w:p>
        </w:tc>
        <w:tc>
          <w:tcPr>
            <w:tcW w:w="2880" w:type="dxa"/>
          </w:tcPr>
          <w:p w14:paraId="6E7E78FA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Validation</w:t>
            </w:r>
          </w:p>
        </w:tc>
      </w:tr>
      <w:tr w14:paraId="16C568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79351A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Session</w:t>
            </w:r>
          </w:p>
        </w:tc>
        <w:tc>
          <w:tcPr>
            <w:tcW w:w="2880" w:type="dxa"/>
          </w:tcPr>
          <w:p w14:paraId="1320135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Refresh retains cart</w:t>
            </w:r>
          </w:p>
        </w:tc>
        <w:tc>
          <w:tcPr>
            <w:tcW w:w="2880" w:type="dxa"/>
          </w:tcPr>
          <w:p w14:paraId="27A881B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Storage</w:t>
            </w:r>
          </w:p>
        </w:tc>
      </w:tr>
      <w:tr w14:paraId="3BF648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984CC4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API</w:t>
            </w:r>
          </w:p>
        </w:tc>
        <w:tc>
          <w:tcPr>
            <w:tcW w:w="2880" w:type="dxa"/>
          </w:tcPr>
          <w:p w14:paraId="5618E580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Monitor search responses</w:t>
            </w:r>
          </w:p>
        </w:tc>
        <w:tc>
          <w:tcPr>
            <w:tcW w:w="2880" w:type="dxa"/>
          </w:tcPr>
          <w:p w14:paraId="65160D67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Intercept</w:t>
            </w:r>
          </w:p>
        </w:tc>
      </w:tr>
      <w:tr w14:paraId="52DC1A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2D14BE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Responsive</w:t>
            </w:r>
          </w:p>
        </w:tc>
        <w:tc>
          <w:tcPr>
            <w:tcW w:w="2880" w:type="dxa"/>
          </w:tcPr>
          <w:p w14:paraId="0ED6A2A8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Chromium/Firefox</w:t>
            </w:r>
          </w:p>
        </w:tc>
        <w:tc>
          <w:tcPr>
            <w:tcW w:w="2880" w:type="dxa"/>
          </w:tcPr>
          <w:p w14:paraId="7F61016A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Parallel</w:t>
            </w:r>
          </w:p>
        </w:tc>
      </w:tr>
      <w:tr w14:paraId="3C0862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7CD9F5D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Performance</w:t>
            </w:r>
          </w:p>
        </w:tc>
        <w:tc>
          <w:tcPr>
            <w:tcW w:w="2880" w:type="dxa"/>
          </w:tcPr>
          <w:p w14:paraId="565E0011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Page load timing</w:t>
            </w:r>
          </w:p>
        </w:tc>
        <w:tc>
          <w:tcPr>
            <w:tcW w:w="2880" w:type="dxa"/>
          </w:tcPr>
          <w:p w14:paraId="47FA022C">
            <w:pPr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Metrics</w:t>
            </w:r>
          </w:p>
        </w:tc>
      </w:tr>
    </w:tbl>
    <w:p w14:paraId="74C25E65">
      <w:pPr>
        <w:pStyle w:val="2"/>
        <w:jc w:val="both"/>
        <w:rPr>
          <w:rFonts w:hint="default" w:ascii="Times New Roman" w:hAnsi="Times New Roman" w:cs="Times New Roman"/>
          <w:color w:val="8064A2" w:themeColor="accent4"/>
          <w14:textFill>
            <w14:solidFill>
              <w14:schemeClr w14:val="accent4"/>
            </w14:solidFill>
          </w14:textFill>
        </w:rPr>
      </w:pPr>
      <w:r>
        <w:rPr>
          <w:rFonts w:hint="default" w:ascii="Times New Roman" w:hAnsi="Times New Roman" w:cs="Times New Roman"/>
          <w:color w:val="8064A2" w:themeColor="accent4"/>
          <w14:textFill>
            <w14:solidFill>
              <w14:schemeClr w14:val="accent4"/>
            </w14:solidFill>
          </w14:textFill>
        </w:rPr>
        <w:t>EXPECTED OUTCOMES</w:t>
      </w:r>
    </w:p>
    <w:p w14:paraId="30A7F9B3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framework is expected to accelerate regression cycles, improve debugging quality, and increase confidence in repeated execution across supported browsers.</w:t>
      </w:r>
    </w:p>
    <w:p w14:paraId="32F72A0A">
      <w:pPr>
        <w:pStyle w:val="2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color w:val="8064A2" w:themeColor="accent4"/>
          <w14:textFill>
            <w14:solidFill>
              <w14:schemeClr w14:val="accent4"/>
            </w14:solidFill>
          </w14:textFill>
        </w:rPr>
        <w:t>PROJECT CONCLUSION</w:t>
      </w:r>
    </w:p>
    <w:p w14:paraId="4437D03A">
      <w:pPr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capstone demonstrates practical enterprise automation through maintainable architecture, realistic workflows, and execution reporting.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C2087A"/>
    <w:rsid w:val="457D2990"/>
    <w:rsid w:val="45AA255A"/>
    <w:rsid w:val="477914D1"/>
    <w:rsid w:val="53AF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Shiny Belsiya</cp:lastModifiedBy>
  <dcterms:modified xsi:type="dcterms:W3CDTF">2026-05-18T11:30:42Z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CDD67B721522415D978CDA43B65DDA08_13</vt:lpwstr>
  </property>
</Properties>
</file>