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text" w:horzAnchor="margin" w:tblpY="-539"/>
        <w:tblW w:w="0" w:type="auto"/>
        <w:tblLook w:val="04A0" w:firstRow="1" w:lastRow="0" w:firstColumn="1" w:lastColumn="0" w:noHBand="0" w:noVBand="1"/>
      </w:tblPr>
      <w:tblGrid>
        <w:gridCol w:w="9062"/>
      </w:tblGrid>
      <w:tr w:rsidR="002A55FA" w:rsidRPr="002E7B1D" w14:paraId="2C2FEB76" w14:textId="77777777" w:rsidTr="002A4F6B">
        <w:tc>
          <w:tcPr>
            <w:tcW w:w="9062" w:type="dxa"/>
          </w:tcPr>
          <w:p w14:paraId="48C79870" w14:textId="77777777" w:rsidR="002A55FA" w:rsidRPr="002E7B1D" w:rsidRDefault="002A55FA" w:rsidP="002A4F6B">
            <w:pPr>
              <w:jc w:val="center"/>
              <w:rPr>
                <w:b/>
                <w:bCs/>
                <w:sz w:val="32"/>
                <w:szCs w:val="32"/>
              </w:rPr>
            </w:pPr>
            <w:r w:rsidRPr="002E7B1D">
              <w:rPr>
                <w:b/>
                <w:bCs/>
                <w:sz w:val="32"/>
                <w:szCs w:val="32"/>
              </w:rPr>
              <w:t>Séance 1 – Des triangles</w:t>
            </w:r>
          </w:p>
        </w:tc>
      </w:tr>
    </w:tbl>
    <w:p w14:paraId="4568E17D" w14:textId="77777777" w:rsidR="002A55FA" w:rsidRPr="00F7016B" w:rsidRDefault="002A55FA" w:rsidP="002A55FA">
      <w:pPr>
        <w:jc w:val="right"/>
        <w:rPr>
          <w:i/>
          <w:iCs/>
        </w:rPr>
      </w:pPr>
      <w:r>
        <w:rPr>
          <w:i/>
          <w:iCs/>
        </w:rPr>
        <w:t>« Le commencement est la moitié de tout » - Pythagore</w:t>
      </w:r>
    </w:p>
    <w:p w14:paraId="639F4728" w14:textId="77777777" w:rsidR="002A55FA" w:rsidRDefault="002A55FA" w:rsidP="002A55FA">
      <w:pPr>
        <w:keepNext/>
        <w:jc w:val="center"/>
      </w:pPr>
      <w:r>
        <w:rPr>
          <w:noProof/>
        </w:rPr>
        <w:drawing>
          <wp:inline distT="0" distB="0" distL="0" distR="0" wp14:anchorId="59B2F6A2" wp14:editId="41AC80CA">
            <wp:extent cx="4276725" cy="10668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6725" cy="1066800"/>
                    </a:xfrm>
                    <a:prstGeom prst="rect">
                      <a:avLst/>
                    </a:prstGeom>
                    <a:noFill/>
                    <a:ln>
                      <a:noFill/>
                    </a:ln>
                  </pic:spPr>
                </pic:pic>
              </a:graphicData>
            </a:graphic>
          </wp:inline>
        </w:drawing>
      </w:r>
    </w:p>
    <w:p w14:paraId="7079C60F" w14:textId="77777777" w:rsidR="002A55FA" w:rsidRDefault="002A55FA" w:rsidP="002A55FA">
      <w:pPr>
        <w:pStyle w:val="Lgende"/>
        <w:jc w:val="center"/>
      </w:pPr>
      <w:r>
        <w:t xml:space="preserve">Figure </w:t>
      </w:r>
      <w:fldSimple w:instr=" SEQ Figure \* ARABIC ">
        <w:r>
          <w:rPr>
            <w:noProof/>
          </w:rPr>
          <w:t>1</w:t>
        </w:r>
      </w:fldSimple>
      <w:r>
        <w:t xml:space="preserve"> : Triangles de </w:t>
      </w:r>
      <w:proofErr w:type="spellStart"/>
      <w:r>
        <w:t>Sierpinski</w:t>
      </w:r>
      <w:proofErr w:type="spellEnd"/>
    </w:p>
    <w:p w14:paraId="0AB0294F" w14:textId="77777777" w:rsidR="002A55FA" w:rsidRDefault="002A55FA" w:rsidP="002A55FA">
      <w:pPr>
        <w:rPr>
          <w:b/>
          <w:bCs/>
          <w:sz w:val="28"/>
          <w:szCs w:val="28"/>
        </w:rPr>
      </w:pPr>
    </w:p>
    <w:p w14:paraId="232D78EB" w14:textId="77777777" w:rsidR="002A55FA" w:rsidRPr="002E7B1D" w:rsidRDefault="002A55FA" w:rsidP="002A55FA">
      <w:pPr>
        <w:rPr>
          <w:b/>
          <w:bCs/>
          <w:sz w:val="28"/>
          <w:szCs w:val="28"/>
        </w:rPr>
      </w:pPr>
      <w:r w:rsidRPr="002E7B1D">
        <w:rPr>
          <w:b/>
          <w:bCs/>
          <w:sz w:val="28"/>
          <w:szCs w:val="28"/>
        </w:rPr>
        <w:t>I – Approche historique</w:t>
      </w:r>
    </w:p>
    <w:p w14:paraId="22849236" w14:textId="77777777" w:rsidR="002A55FA" w:rsidRPr="001E5903" w:rsidRDefault="002A55FA" w:rsidP="002A55FA">
      <w:pPr>
        <w:pStyle w:val="Paragraphedeliste"/>
        <w:numPr>
          <w:ilvl w:val="0"/>
          <w:numId w:val="1"/>
        </w:numPr>
        <w:rPr>
          <w:sz w:val="24"/>
          <w:szCs w:val="24"/>
        </w:rPr>
      </w:pPr>
      <w:r w:rsidRPr="001E5903">
        <w:rPr>
          <w:sz w:val="24"/>
          <w:szCs w:val="24"/>
          <w:u w:val="single"/>
        </w:rPr>
        <w:t>Une histoire d’arpenteurs</w:t>
      </w:r>
      <w:r w:rsidRPr="001E5903">
        <w:rPr>
          <w:noProof/>
          <w:sz w:val="24"/>
          <w:szCs w:val="24"/>
        </w:rPr>
        <w:drawing>
          <wp:anchor distT="0" distB="0" distL="114300" distR="114300" simplePos="0" relativeHeight="251660288" behindDoc="1" locked="0" layoutInCell="1" allowOverlap="1" wp14:anchorId="11D59A5B" wp14:editId="4A8F47C9">
            <wp:simplePos x="0" y="0"/>
            <wp:positionH relativeFrom="column">
              <wp:posOffset>-569276</wp:posOffset>
            </wp:positionH>
            <wp:positionV relativeFrom="paragraph">
              <wp:posOffset>244498</wp:posOffset>
            </wp:positionV>
            <wp:extent cx="349885" cy="374015"/>
            <wp:effectExtent l="0" t="0" r="0" b="6985"/>
            <wp:wrapTight wrapText="bothSides">
              <wp:wrapPolygon edited="0">
                <wp:start x="0" y="0"/>
                <wp:lineTo x="0" y="20903"/>
                <wp:lineTo x="19993" y="20903"/>
                <wp:lineTo x="19993"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9885" cy="374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E9D5FE" w14:textId="77777777" w:rsidR="002A55FA" w:rsidRPr="007F2B7B" w:rsidRDefault="002A55FA" w:rsidP="002A55FA">
      <w:pPr>
        <w:rPr>
          <w:b/>
          <w:bCs/>
        </w:rPr>
      </w:pPr>
      <w:r w:rsidRPr="007F2B7B">
        <w:rPr>
          <w:b/>
          <w:bCs/>
        </w:rPr>
        <w:t>Activité 1 – Lecture de la préface de Clairaut</w:t>
      </w:r>
    </w:p>
    <w:p w14:paraId="6FC349D6" w14:textId="77777777" w:rsidR="002A55FA" w:rsidRDefault="002A55FA" w:rsidP="002A55FA">
      <w:r>
        <w:t>A partir de la lecture de la préface de Clairaut des éléments, répondre aux questions suivantes :</w:t>
      </w:r>
    </w:p>
    <w:p w14:paraId="31F48B68" w14:textId="77777777" w:rsidR="002A55FA" w:rsidRDefault="002A55FA" w:rsidP="002A55FA"/>
    <w:p w14:paraId="0D94E795" w14:textId="77777777" w:rsidR="002A55FA" w:rsidRDefault="002A55FA" w:rsidP="002A55FA">
      <w:pPr>
        <w:pStyle w:val="Paragraphedeliste"/>
        <w:numPr>
          <w:ilvl w:val="0"/>
          <w:numId w:val="6"/>
        </w:numPr>
      </w:pPr>
      <w:r>
        <w:t xml:space="preserve">En quoi Clairaut propose une réorganisation différente des précédentes éditions des Eléments ? </w:t>
      </w:r>
    </w:p>
    <w:p w14:paraId="2484E798" w14:textId="77777777" w:rsidR="002A55FA" w:rsidRDefault="002A55FA" w:rsidP="002A55FA">
      <w:pPr>
        <w:pStyle w:val="Paragraphedeliste"/>
        <w:numPr>
          <w:ilvl w:val="0"/>
          <w:numId w:val="6"/>
        </w:numPr>
      </w:pPr>
      <w:r>
        <w:t xml:space="preserve">Pour quelle raison peut-on qualifier sa démarche de constructiviste ? </w:t>
      </w:r>
    </w:p>
    <w:p w14:paraId="19B568FE" w14:textId="77777777" w:rsidR="002A55FA" w:rsidRDefault="002A55FA" w:rsidP="002A55FA">
      <w:pPr>
        <w:pStyle w:val="Paragraphedeliste"/>
        <w:numPr>
          <w:ilvl w:val="0"/>
          <w:numId w:val="6"/>
        </w:numPr>
      </w:pPr>
      <w:r>
        <w:t xml:space="preserve">Quel parallèle peut-on faire entre ce texte et la </w:t>
      </w:r>
      <w:proofErr w:type="spellStart"/>
      <w:r>
        <w:t>co</w:t>
      </w:r>
      <w:proofErr w:type="spellEnd"/>
      <w:r>
        <w:t>-intervention ?</w:t>
      </w:r>
    </w:p>
    <w:p w14:paraId="5F89A9A5" w14:textId="77777777" w:rsidR="002A55FA" w:rsidRDefault="002A55FA" w:rsidP="002A55FA">
      <w:r w:rsidRPr="000621DE">
        <w:rPr>
          <w:b/>
          <w:bCs/>
          <w:noProof/>
          <w:sz w:val="24"/>
          <w:szCs w:val="24"/>
        </w:rPr>
        <w:drawing>
          <wp:anchor distT="0" distB="0" distL="114300" distR="114300" simplePos="0" relativeHeight="251661312" behindDoc="0" locked="0" layoutInCell="1" allowOverlap="1" wp14:anchorId="75C1C2BB" wp14:editId="25588289">
            <wp:simplePos x="0" y="0"/>
            <wp:positionH relativeFrom="column">
              <wp:posOffset>-573748</wp:posOffset>
            </wp:positionH>
            <wp:positionV relativeFrom="paragraph">
              <wp:posOffset>323534</wp:posOffset>
            </wp:positionV>
            <wp:extent cx="461513" cy="34613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513" cy="346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3E02D2" w14:textId="77777777" w:rsidR="002A55FA" w:rsidRPr="001E5903" w:rsidRDefault="002A55FA" w:rsidP="002A55FA">
      <w:pPr>
        <w:pStyle w:val="Paragraphedeliste"/>
        <w:numPr>
          <w:ilvl w:val="0"/>
          <w:numId w:val="1"/>
        </w:numPr>
        <w:rPr>
          <w:sz w:val="24"/>
          <w:szCs w:val="24"/>
          <w:u w:val="single"/>
        </w:rPr>
      </w:pPr>
      <w:r w:rsidRPr="001E5903">
        <w:rPr>
          <w:sz w:val="24"/>
          <w:szCs w:val="24"/>
          <w:u w:val="single"/>
        </w:rPr>
        <w:t>Les Eléments d’Euclide</w:t>
      </w:r>
    </w:p>
    <w:p w14:paraId="48FF1100" w14:textId="77777777" w:rsidR="002A55FA" w:rsidRDefault="002A55FA" w:rsidP="002A55FA">
      <w:r>
        <w:rPr>
          <w:noProof/>
        </w:rPr>
        <w:drawing>
          <wp:anchor distT="0" distB="0" distL="114300" distR="114300" simplePos="0" relativeHeight="251659264" behindDoc="1" locked="0" layoutInCell="1" allowOverlap="1" wp14:anchorId="4F948C53" wp14:editId="10D81BBB">
            <wp:simplePos x="0" y="0"/>
            <wp:positionH relativeFrom="column">
              <wp:posOffset>0</wp:posOffset>
            </wp:positionH>
            <wp:positionV relativeFrom="paragraph">
              <wp:posOffset>73660</wp:posOffset>
            </wp:positionV>
            <wp:extent cx="1376045" cy="1669415"/>
            <wp:effectExtent l="0" t="0" r="0" b="6985"/>
            <wp:wrapTight wrapText="bothSides">
              <wp:wrapPolygon edited="0">
                <wp:start x="0" y="0"/>
                <wp:lineTo x="0" y="21444"/>
                <wp:lineTo x="21231" y="21444"/>
                <wp:lineTo x="21231" y="0"/>
                <wp:lineTo x="0" y="0"/>
              </wp:wrapPolygon>
            </wp:wrapTight>
            <wp:docPr id="7" name="Image 7" descr="Euclide d&amp;#39;Alexandrie Photo Stock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clide d&amp;#39;Alexandrie Photo Stock - Alamy"/>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6923"/>
                    <a:stretch/>
                  </pic:blipFill>
                  <pic:spPr bwMode="auto">
                    <a:xfrm>
                      <a:off x="0" y="0"/>
                      <a:ext cx="1376045" cy="1669415"/>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Les éléments d'Euclide sont un recueil de mathématiques probablement écrits par le mathématicien Euclide vers -300 avant </w:t>
      </w:r>
      <w:proofErr w:type="gramStart"/>
      <w:r>
        <w:t>J.C..</w:t>
      </w:r>
      <w:proofErr w:type="gramEnd"/>
      <w:r>
        <w:t xml:space="preserve"> Il est composé de 13 livres organisés autour de différents thèmes d'études. La majorité des démonstrations présentées dans ce livre sont bien antérieures à ce livre, qu'il faut donc bien aborder comme recueil du savoir disponible de cette zone spatio-temporelle. </w:t>
      </w:r>
    </w:p>
    <w:p w14:paraId="7C3BF740" w14:textId="77777777" w:rsidR="002A55FA" w:rsidRDefault="002A55FA" w:rsidP="002A55FA">
      <w:r>
        <w:t>Si d'autres recueils similaires datant de la même époque existaient, le caractère complet et la rigueur de cet ouvrage lui ont permis de traverser l'histoire</w:t>
      </w:r>
    </w:p>
    <w:p w14:paraId="238952AE" w14:textId="77777777" w:rsidR="002A55FA" w:rsidRDefault="002A55FA" w:rsidP="002A55FA">
      <w:r>
        <w:t xml:space="preserve">Les </w:t>
      </w:r>
      <w:proofErr w:type="spellStart"/>
      <w:r>
        <w:t>quatres</w:t>
      </w:r>
      <w:proofErr w:type="spellEnd"/>
      <w:r>
        <w:t xml:space="preserve"> premiers livres posent les fondements axiomatiques de la géométrie plane. On y retrouve différentes démonstrations purement géométriques telles que Théorème de Pythagore, la somme des aires d'un triangle ou encore des propriétés sur les triangles inscrits dans les cercles. Certaines de ces démonstrations sont des introductions de propriétés algébriques, abordées à partir d'un point de vue géométrique. On retrouve ainsi les principales propriétés des identités remarquables. </w:t>
      </w:r>
    </w:p>
    <w:p w14:paraId="66359D93" w14:textId="77777777" w:rsidR="002A55FA" w:rsidRDefault="002A55FA" w:rsidP="002A55FA">
      <w:r>
        <w:t>Les livres V à IX se proposent de réinvestir les différentes propriétés géométriques sur d’autres registres, tels que l’algèbre ou l’arithmétique. On y trouve notamment une ébauche de la théorie des proportions qui ressemble fort à la proportionnalité telle qu’on la pratique actuellement.</w:t>
      </w:r>
    </w:p>
    <w:p w14:paraId="31EAEB5E" w14:textId="77777777" w:rsidR="002A55FA" w:rsidRDefault="002A55FA" w:rsidP="002A55FA"/>
    <w:p w14:paraId="1C543C42" w14:textId="77777777" w:rsidR="002A55FA" w:rsidRPr="0091645C" w:rsidRDefault="002A55FA" w:rsidP="002A55FA">
      <w:pPr>
        <w:pStyle w:val="Paragraphedeliste"/>
        <w:numPr>
          <w:ilvl w:val="0"/>
          <w:numId w:val="1"/>
        </w:numPr>
        <w:rPr>
          <w:u w:val="single"/>
        </w:rPr>
      </w:pPr>
      <w:r w:rsidRPr="001E5903">
        <w:rPr>
          <w:b/>
          <w:bCs/>
          <w:noProof/>
          <w:sz w:val="32"/>
          <w:szCs w:val="32"/>
          <w:u w:val="single"/>
        </w:rPr>
        <w:lastRenderedPageBreak/>
        <w:drawing>
          <wp:anchor distT="0" distB="0" distL="114300" distR="114300" simplePos="0" relativeHeight="251662336" behindDoc="1" locked="0" layoutInCell="1" allowOverlap="1" wp14:anchorId="4DAC84AA" wp14:editId="6E6A3C48">
            <wp:simplePos x="0" y="0"/>
            <wp:positionH relativeFrom="column">
              <wp:posOffset>-569540</wp:posOffset>
            </wp:positionH>
            <wp:positionV relativeFrom="paragraph">
              <wp:posOffset>230692</wp:posOffset>
            </wp:positionV>
            <wp:extent cx="349885" cy="374015"/>
            <wp:effectExtent l="0" t="0" r="0" b="6985"/>
            <wp:wrapTight wrapText="bothSides">
              <wp:wrapPolygon edited="0">
                <wp:start x="0" y="0"/>
                <wp:lineTo x="0" y="20903"/>
                <wp:lineTo x="19993" y="20903"/>
                <wp:lineTo x="19993"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9885" cy="374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E5903">
        <w:rPr>
          <w:sz w:val="24"/>
          <w:szCs w:val="24"/>
          <w:u w:val="single"/>
        </w:rPr>
        <w:t>Co-intervention : Le 3-4-5</w:t>
      </w:r>
    </w:p>
    <w:p w14:paraId="669871E9" w14:textId="77777777" w:rsidR="002A55FA" w:rsidRDefault="002A55FA" w:rsidP="002A55FA">
      <w:pPr>
        <w:rPr>
          <w:b/>
          <w:bCs/>
        </w:rPr>
      </w:pPr>
      <w:r>
        <w:rPr>
          <w:b/>
          <w:bCs/>
        </w:rPr>
        <w:t>Activité 2</w:t>
      </w:r>
      <w:r w:rsidRPr="00557BB5">
        <w:rPr>
          <w:b/>
          <w:bCs/>
        </w:rPr>
        <w:t> </w:t>
      </w:r>
      <w:r>
        <w:rPr>
          <w:b/>
          <w:bCs/>
        </w:rPr>
        <w:t xml:space="preserve">– Implantation de bâtiment </w:t>
      </w:r>
      <w:r w:rsidRPr="00557BB5">
        <w:rPr>
          <w:b/>
          <w:bCs/>
        </w:rPr>
        <w:t>:</w:t>
      </w:r>
      <w:r>
        <w:rPr>
          <w:b/>
          <w:bCs/>
        </w:rPr>
        <w:t xml:space="preserve"> </w:t>
      </w:r>
    </w:p>
    <w:p w14:paraId="0156F1DB" w14:textId="77777777" w:rsidR="002A55FA" w:rsidRPr="00623734" w:rsidRDefault="002A55FA" w:rsidP="002A55FA">
      <w:r w:rsidRPr="00623734">
        <w:rPr>
          <w:u w:val="single"/>
        </w:rPr>
        <w:t>Situation :</w:t>
      </w:r>
      <w:r>
        <w:t xml:space="preserve"> Deux ouvriers du bâtiment doivent réaliser l’implantation du bâtiment suivant sur une dalle béton. Pour cela, ils doivent tracer des angles droits fiables sur de longues portées. L’erreur tolérée sur le chantier est de 0,5% </w:t>
      </w:r>
    </w:p>
    <w:p w14:paraId="7F891BD9" w14:textId="77777777" w:rsidR="002A55FA" w:rsidRDefault="002A55FA" w:rsidP="002A55FA">
      <w:r w:rsidRPr="00557BB5">
        <w:t>En binôme,</w:t>
      </w:r>
      <w:r>
        <w:rPr>
          <w:b/>
          <w:bCs/>
        </w:rPr>
        <w:t xml:space="preserve"> </w:t>
      </w:r>
      <w:r>
        <w:t>A l’aide d’un mètre ruban de 5 mètres, tracer le plus grand angle droit possible.</w:t>
      </w:r>
    </w:p>
    <w:p w14:paraId="6DB0CA87" w14:textId="77777777" w:rsidR="000155DD" w:rsidRDefault="000155DD" w:rsidP="002A55FA">
      <w:pPr>
        <w:rPr>
          <w:b/>
          <w:bCs/>
        </w:rPr>
      </w:pPr>
    </w:p>
    <w:p w14:paraId="6527344A" w14:textId="15AAA6A7" w:rsidR="002A55FA" w:rsidRDefault="000155DD" w:rsidP="002A55FA">
      <w:r>
        <w:t>La planche « </w:t>
      </w:r>
      <w:r w:rsidRPr="000155DD">
        <w:rPr>
          <w:i/>
          <w:iCs/>
        </w:rPr>
        <w:t>Mazerolle</w:t>
      </w:r>
      <w:r>
        <w:t> »</w:t>
      </w:r>
      <w:r w:rsidR="002A55FA">
        <w:t xml:space="preserve"> est issue d’un traité de trait de charpente. Elle présente différentes techniques utilisées dans ce milieu pour tracer des perpendiculaires au sol de longues durées. </w:t>
      </w:r>
    </w:p>
    <w:p w14:paraId="2C0DF970" w14:textId="7C3A3358" w:rsidR="002A55FA" w:rsidRDefault="000155DD" w:rsidP="000155DD">
      <w:pPr>
        <w:pStyle w:val="Paragraphedeliste"/>
        <w:numPr>
          <w:ilvl w:val="0"/>
          <w:numId w:val="10"/>
        </w:numPr>
      </w:pPr>
      <w:r>
        <w:t xml:space="preserve">Quelle est la particularité des techniques présentées ? </w:t>
      </w:r>
    </w:p>
    <w:p w14:paraId="263BDB7B" w14:textId="3AEC6F71" w:rsidR="000155DD" w:rsidRDefault="000155DD" w:rsidP="000155DD">
      <w:pPr>
        <w:pStyle w:val="Paragraphedeliste"/>
      </w:pPr>
    </w:p>
    <w:p w14:paraId="30AEB176" w14:textId="5E942FA5" w:rsidR="000155DD" w:rsidRDefault="000155DD" w:rsidP="000155DD">
      <w:pPr>
        <w:pStyle w:val="Paragraphedeliste"/>
      </w:pPr>
    </w:p>
    <w:p w14:paraId="3DFA95CA" w14:textId="5FD0A0C4" w:rsidR="000155DD" w:rsidRPr="00557BB5" w:rsidRDefault="000155DD" w:rsidP="000155DD">
      <w:pPr>
        <w:pStyle w:val="Paragraphedeliste"/>
      </w:pPr>
      <w:r w:rsidRPr="000621DE">
        <w:rPr>
          <w:noProof/>
        </w:rPr>
        <w:drawing>
          <wp:anchor distT="0" distB="0" distL="114300" distR="114300" simplePos="0" relativeHeight="251663360" behindDoc="0" locked="0" layoutInCell="1" allowOverlap="1" wp14:anchorId="7C977DC7" wp14:editId="32CC1DF2">
            <wp:simplePos x="0" y="0"/>
            <wp:positionH relativeFrom="column">
              <wp:posOffset>-681355</wp:posOffset>
            </wp:positionH>
            <wp:positionV relativeFrom="paragraph">
              <wp:posOffset>247015</wp:posOffset>
            </wp:positionV>
            <wp:extent cx="461513" cy="346135"/>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513" cy="346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270F83" w14:textId="77777777" w:rsidR="002A55FA" w:rsidRPr="001E5903" w:rsidRDefault="002A55FA" w:rsidP="002A55FA">
      <w:pPr>
        <w:rPr>
          <w:b/>
          <w:bCs/>
          <w:sz w:val="28"/>
          <w:szCs w:val="28"/>
        </w:rPr>
      </w:pPr>
      <w:r w:rsidRPr="001E5903">
        <w:rPr>
          <w:b/>
          <w:bCs/>
          <w:sz w:val="28"/>
          <w:szCs w:val="28"/>
        </w:rPr>
        <w:t>II – Les triangles au lycée pro</w:t>
      </w:r>
    </w:p>
    <w:p w14:paraId="088AD58E" w14:textId="77777777" w:rsidR="002A55FA" w:rsidRPr="001E5903" w:rsidRDefault="002A55FA" w:rsidP="002A55FA">
      <w:pPr>
        <w:pStyle w:val="Paragraphedeliste"/>
        <w:numPr>
          <w:ilvl w:val="0"/>
          <w:numId w:val="3"/>
        </w:numPr>
        <w:rPr>
          <w:sz w:val="24"/>
          <w:szCs w:val="24"/>
          <w:u w:val="single"/>
        </w:rPr>
      </w:pPr>
      <w:r w:rsidRPr="001E5903">
        <w:rPr>
          <w:sz w:val="24"/>
          <w:szCs w:val="24"/>
          <w:u w:val="single"/>
        </w:rPr>
        <w:t>Cadre Institutionnel</w:t>
      </w:r>
    </w:p>
    <w:p w14:paraId="512F6E91" w14:textId="77777777" w:rsidR="002A55FA" w:rsidRDefault="002A55FA" w:rsidP="002A55FA">
      <w:pPr>
        <w:pStyle w:val="Paragraphedeliste"/>
        <w:numPr>
          <w:ilvl w:val="0"/>
          <w:numId w:val="4"/>
        </w:numPr>
      </w:pPr>
      <w:r>
        <w:t>En CAP</w:t>
      </w:r>
    </w:p>
    <w:p w14:paraId="23B1A38B" w14:textId="77777777" w:rsidR="002A55FA" w:rsidRDefault="002A55FA" w:rsidP="002A55FA">
      <w:r>
        <w:rPr>
          <w:noProof/>
        </w:rPr>
        <w:drawing>
          <wp:inline distT="0" distB="0" distL="0" distR="0" wp14:anchorId="434ABAEB" wp14:editId="24F192A7">
            <wp:extent cx="5755005" cy="40252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5005" cy="4025265"/>
                    </a:xfrm>
                    <a:prstGeom prst="rect">
                      <a:avLst/>
                    </a:prstGeom>
                    <a:noFill/>
                    <a:ln>
                      <a:noFill/>
                    </a:ln>
                  </pic:spPr>
                </pic:pic>
              </a:graphicData>
            </a:graphic>
          </wp:inline>
        </w:drawing>
      </w:r>
    </w:p>
    <w:p w14:paraId="70DBD06D" w14:textId="77777777" w:rsidR="002A55FA" w:rsidRDefault="002A55FA" w:rsidP="002A55FA">
      <w:pPr>
        <w:pStyle w:val="Paragraphedeliste"/>
        <w:ind w:left="1068"/>
      </w:pPr>
    </w:p>
    <w:p w14:paraId="3BD7E9FF" w14:textId="77777777" w:rsidR="002A55FA" w:rsidRDefault="002A55FA" w:rsidP="002A55FA">
      <w:pPr>
        <w:pStyle w:val="Paragraphedeliste"/>
        <w:ind w:left="1068"/>
      </w:pPr>
    </w:p>
    <w:p w14:paraId="6538B3FA" w14:textId="77777777" w:rsidR="002A55FA" w:rsidRDefault="002A55FA" w:rsidP="002A55FA">
      <w:pPr>
        <w:ind w:left="708"/>
      </w:pPr>
    </w:p>
    <w:p w14:paraId="4B5D5D94" w14:textId="77777777" w:rsidR="002A55FA" w:rsidRDefault="002A55FA" w:rsidP="002A55FA">
      <w:pPr>
        <w:ind w:left="708"/>
      </w:pPr>
    </w:p>
    <w:p w14:paraId="57DBD5D9" w14:textId="77777777" w:rsidR="002A55FA" w:rsidRPr="00557BB5" w:rsidRDefault="002A55FA" w:rsidP="002A55FA">
      <w:pPr>
        <w:pStyle w:val="Paragraphedeliste"/>
        <w:numPr>
          <w:ilvl w:val="0"/>
          <w:numId w:val="4"/>
        </w:numPr>
      </w:pPr>
      <w:r>
        <w:t>En seconde Bac Pro</w:t>
      </w:r>
    </w:p>
    <w:p w14:paraId="27A7D2EE" w14:textId="77777777" w:rsidR="002A55FA" w:rsidRDefault="002A55FA" w:rsidP="002A55FA">
      <w:r>
        <w:rPr>
          <w:noProof/>
        </w:rPr>
        <w:drawing>
          <wp:inline distT="0" distB="0" distL="0" distR="0" wp14:anchorId="6293DCDE" wp14:editId="5D8D266F">
            <wp:extent cx="5755005" cy="33750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5005" cy="3375025"/>
                    </a:xfrm>
                    <a:prstGeom prst="rect">
                      <a:avLst/>
                    </a:prstGeom>
                    <a:noFill/>
                    <a:ln>
                      <a:noFill/>
                    </a:ln>
                  </pic:spPr>
                </pic:pic>
              </a:graphicData>
            </a:graphic>
          </wp:inline>
        </w:drawing>
      </w:r>
    </w:p>
    <w:p w14:paraId="6C53B9EB" w14:textId="17A1B87E" w:rsidR="002A55FA" w:rsidRDefault="002A55FA" w:rsidP="002A55FA"/>
    <w:p w14:paraId="322F7D0F" w14:textId="62DD86A2" w:rsidR="002A55FA" w:rsidRDefault="002A55FA" w:rsidP="002A55FA"/>
    <w:p w14:paraId="6782DB0D" w14:textId="77777777" w:rsidR="002A55FA" w:rsidRDefault="002A55FA" w:rsidP="002A55FA"/>
    <w:p w14:paraId="631054D2" w14:textId="7BB6AF10" w:rsidR="002A55FA" w:rsidRDefault="002A55FA" w:rsidP="002A55FA">
      <w:pPr>
        <w:rPr>
          <w:b/>
          <w:bCs/>
          <w:sz w:val="28"/>
          <w:szCs w:val="28"/>
        </w:rPr>
      </w:pPr>
      <w:r>
        <w:rPr>
          <w:b/>
          <w:bCs/>
          <w:sz w:val="28"/>
          <w:szCs w:val="28"/>
        </w:rPr>
        <w:t>I</w:t>
      </w:r>
      <w:r w:rsidRPr="002E7B1D">
        <w:rPr>
          <w:b/>
          <w:bCs/>
          <w:sz w:val="28"/>
          <w:szCs w:val="28"/>
        </w:rPr>
        <w:t xml:space="preserve">I – Approche </w:t>
      </w:r>
      <w:r>
        <w:rPr>
          <w:b/>
          <w:bCs/>
          <w:sz w:val="28"/>
          <w:szCs w:val="28"/>
        </w:rPr>
        <w:t>didactique</w:t>
      </w:r>
    </w:p>
    <w:p w14:paraId="6C92C2CE" w14:textId="2A66FF3C" w:rsidR="002A55FA" w:rsidRPr="002E7B1D" w:rsidRDefault="002A55FA" w:rsidP="002A55FA">
      <w:pPr>
        <w:rPr>
          <w:b/>
          <w:bCs/>
          <w:sz w:val="28"/>
          <w:szCs w:val="28"/>
        </w:rPr>
      </w:pPr>
      <w:r w:rsidRPr="000621DE">
        <w:rPr>
          <w:b/>
          <w:bCs/>
          <w:noProof/>
          <w:sz w:val="24"/>
          <w:szCs w:val="24"/>
        </w:rPr>
        <w:drawing>
          <wp:anchor distT="0" distB="0" distL="114300" distR="114300" simplePos="0" relativeHeight="251664384" behindDoc="0" locked="0" layoutInCell="1" allowOverlap="1" wp14:anchorId="0B085ED9" wp14:editId="58A97B0E">
            <wp:simplePos x="0" y="0"/>
            <wp:positionH relativeFrom="column">
              <wp:posOffset>-572135</wp:posOffset>
            </wp:positionH>
            <wp:positionV relativeFrom="paragraph">
              <wp:posOffset>406400</wp:posOffset>
            </wp:positionV>
            <wp:extent cx="461513" cy="34613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513" cy="346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92DE39" w14:textId="77777777" w:rsidR="002A55FA" w:rsidRPr="00F7016B" w:rsidRDefault="002A55FA" w:rsidP="002A55FA">
      <w:pPr>
        <w:pStyle w:val="Paragraphedeliste"/>
        <w:numPr>
          <w:ilvl w:val="0"/>
          <w:numId w:val="7"/>
        </w:numPr>
        <w:autoSpaceDE w:val="0"/>
        <w:autoSpaceDN w:val="0"/>
        <w:adjustRightInd w:val="0"/>
        <w:spacing w:after="0" w:line="240" w:lineRule="auto"/>
        <w:rPr>
          <w:rFonts w:ascii="Utopia-Regular" w:hAnsi="Utopia-Regular" w:cs="Utopia-Regular"/>
          <w:sz w:val="24"/>
          <w:szCs w:val="24"/>
          <w:u w:val="single"/>
        </w:rPr>
      </w:pPr>
      <w:r w:rsidRPr="00F7016B">
        <w:rPr>
          <w:rFonts w:ascii="Utopia-Regular" w:hAnsi="Utopia-Regular" w:cs="Utopia-Regular"/>
          <w:sz w:val="24"/>
          <w:szCs w:val="24"/>
          <w:u w:val="single"/>
        </w:rPr>
        <w:t>Théorie anthropologique de la didactique : Notion de praxéologie</w:t>
      </w:r>
    </w:p>
    <w:p w14:paraId="1163F3B2" w14:textId="77777777" w:rsidR="002A55FA" w:rsidRPr="001E5903" w:rsidRDefault="002A55FA" w:rsidP="002A55FA">
      <w:pPr>
        <w:autoSpaceDE w:val="0"/>
        <w:autoSpaceDN w:val="0"/>
        <w:adjustRightInd w:val="0"/>
        <w:spacing w:after="0" w:line="240" w:lineRule="auto"/>
        <w:ind w:left="360"/>
        <w:rPr>
          <w:rFonts w:ascii="Utopia-Regular" w:hAnsi="Utopia-Regular" w:cs="Utopia-Regular"/>
        </w:rPr>
      </w:pPr>
    </w:p>
    <w:p w14:paraId="4288B5FA" w14:textId="77777777" w:rsidR="002A55FA" w:rsidRDefault="002A55FA" w:rsidP="002A55FA">
      <w:pPr>
        <w:autoSpaceDE w:val="0"/>
        <w:autoSpaceDN w:val="0"/>
        <w:adjustRightInd w:val="0"/>
        <w:spacing w:after="0" w:line="240" w:lineRule="auto"/>
        <w:rPr>
          <w:rFonts w:ascii="Utopia-Regular" w:hAnsi="Utopia-Regular" w:cs="Utopia-Regular"/>
        </w:rPr>
      </w:pPr>
      <w:r>
        <w:rPr>
          <w:rFonts w:ascii="Utopia-Regular" w:hAnsi="Utopia-Regular" w:cs="Utopia-Regular"/>
        </w:rPr>
        <w:t>Praxéologie, du grec "praxis" (manipuler), et "logos" (discours rationnel), étudie les différents types de tâches à travers quatre objets :</w:t>
      </w:r>
    </w:p>
    <w:p w14:paraId="11BA0826" w14:textId="77777777" w:rsidR="002A55FA" w:rsidRDefault="002A55FA" w:rsidP="002A55FA">
      <w:pPr>
        <w:autoSpaceDE w:val="0"/>
        <w:autoSpaceDN w:val="0"/>
        <w:adjustRightInd w:val="0"/>
        <w:spacing w:after="0" w:line="240" w:lineRule="auto"/>
        <w:rPr>
          <w:rFonts w:ascii="Utopia-Bold" w:hAnsi="Utopia-Bold" w:cs="Utopia-Bold"/>
          <w:b/>
          <w:bCs/>
        </w:rPr>
      </w:pPr>
    </w:p>
    <w:p w14:paraId="28D7427E" w14:textId="77777777" w:rsidR="002A55FA" w:rsidRDefault="002A55FA" w:rsidP="002A55FA">
      <w:pPr>
        <w:autoSpaceDE w:val="0"/>
        <w:autoSpaceDN w:val="0"/>
        <w:adjustRightInd w:val="0"/>
        <w:spacing w:after="0" w:line="240" w:lineRule="auto"/>
        <w:rPr>
          <w:rFonts w:ascii="Utopia-Regular" w:hAnsi="Utopia-Regular" w:cs="Utopia-Regular"/>
        </w:rPr>
      </w:pPr>
      <w:r>
        <w:rPr>
          <w:rFonts w:ascii="Utopia-Bold" w:hAnsi="Utopia-Bold" w:cs="Utopia-Bold"/>
          <w:b/>
          <w:bCs/>
        </w:rPr>
        <w:t xml:space="preserve">Le type de tâche T : </w:t>
      </w:r>
      <w:r>
        <w:rPr>
          <w:rFonts w:ascii="Utopia-Regular" w:hAnsi="Utopia-Regular" w:cs="Utopia-Regular"/>
        </w:rPr>
        <w:t>Un type de tâches est généralement décrit par un verbe. Par exemple : laver de la vaisselle, résoudre une équation du second degré, ou encore monter un escalier sont des types de tâches. Il s’agit d’une action non naturelle, d’un artefact, dont la reconstruction en classe est l’objet même de la didactique.</w:t>
      </w:r>
    </w:p>
    <w:p w14:paraId="651EA773" w14:textId="77777777" w:rsidR="002A55FA" w:rsidRDefault="002A55FA" w:rsidP="002A55FA">
      <w:pPr>
        <w:autoSpaceDE w:val="0"/>
        <w:autoSpaceDN w:val="0"/>
        <w:adjustRightInd w:val="0"/>
        <w:spacing w:after="0" w:line="240" w:lineRule="auto"/>
        <w:rPr>
          <w:rFonts w:ascii="Utopia-Regular" w:hAnsi="Utopia-Regular" w:cs="Utopia-Regular"/>
        </w:rPr>
      </w:pPr>
      <w:r>
        <w:rPr>
          <w:rFonts w:ascii="Utopia-Regular" w:hAnsi="Utopia-Regular" w:cs="Utopia-Regular"/>
        </w:rPr>
        <w:t>Le type de tâche est par ailleurs "</w:t>
      </w:r>
      <w:r>
        <w:rPr>
          <w:rFonts w:ascii="Utopia-Italic" w:hAnsi="Utopia-Italic" w:cs="Utopia-Italic"/>
          <w:i/>
          <w:iCs/>
        </w:rPr>
        <w:t>construit</w:t>
      </w:r>
      <w:r>
        <w:rPr>
          <w:rFonts w:ascii="Utopia-Regular" w:hAnsi="Utopia-Regular" w:cs="Utopia-Regular"/>
        </w:rPr>
        <w:t xml:space="preserve">" par une institution. Il peut être parfois composé de plusieurs tâches (notée t </w:t>
      </w:r>
      <w:r>
        <w:rPr>
          <w:rFonts w:ascii="Cambria Math" w:hAnsi="Cambria Math" w:cs="Fourier-Math-Symbols"/>
        </w:rPr>
        <w:t>∈</w:t>
      </w:r>
      <w:r>
        <w:rPr>
          <w:rFonts w:ascii="Fourier-Math-Symbols" w:hAnsi="Fourier-Math-Symbols" w:cs="Fourier-Math-Symbols"/>
        </w:rPr>
        <w:t xml:space="preserve"> </w:t>
      </w:r>
      <w:r>
        <w:rPr>
          <w:rFonts w:ascii="Utopia-Regular" w:hAnsi="Utopia-Regular" w:cs="Utopia-Regular"/>
        </w:rPr>
        <w:t>T), elles-mêmes pouvant être composées de sous-tâches.</w:t>
      </w:r>
    </w:p>
    <w:p w14:paraId="640AD226" w14:textId="77777777" w:rsidR="002A55FA" w:rsidRDefault="002A55FA" w:rsidP="002A55FA">
      <w:pPr>
        <w:autoSpaceDE w:val="0"/>
        <w:autoSpaceDN w:val="0"/>
        <w:adjustRightInd w:val="0"/>
        <w:spacing w:after="0" w:line="240" w:lineRule="auto"/>
        <w:rPr>
          <w:rFonts w:ascii="Utopia-Regular" w:hAnsi="Utopia-Regular" w:cs="Utopia-Regular"/>
        </w:rPr>
      </w:pPr>
    </w:p>
    <w:p w14:paraId="0E2CE0D0" w14:textId="77777777" w:rsidR="002A55FA" w:rsidRDefault="002A55FA" w:rsidP="002A55FA">
      <w:pPr>
        <w:autoSpaceDE w:val="0"/>
        <w:autoSpaceDN w:val="0"/>
        <w:adjustRightInd w:val="0"/>
        <w:spacing w:after="0" w:line="240" w:lineRule="auto"/>
        <w:rPr>
          <w:rFonts w:ascii="Utopia-Regular" w:hAnsi="Utopia-Regular" w:cs="Utopia-Regular"/>
        </w:rPr>
      </w:pPr>
    </w:p>
    <w:p w14:paraId="6AB93957" w14:textId="77777777" w:rsidR="002A55FA" w:rsidRDefault="002A55FA" w:rsidP="002A55FA">
      <w:pPr>
        <w:autoSpaceDE w:val="0"/>
        <w:autoSpaceDN w:val="0"/>
        <w:adjustRightInd w:val="0"/>
        <w:spacing w:after="0" w:line="240" w:lineRule="auto"/>
        <w:rPr>
          <w:rFonts w:ascii="Utopia-Regular" w:hAnsi="Utopia-Regular" w:cs="Utopia-Regular"/>
        </w:rPr>
      </w:pPr>
      <w:r>
        <w:rPr>
          <w:rFonts w:ascii="Utopia-Bold" w:hAnsi="Utopia-Bold" w:cs="Utopia-Bold"/>
          <w:b/>
          <w:bCs/>
        </w:rPr>
        <w:t xml:space="preserve">Les techniques </w:t>
      </w:r>
      <w:r>
        <w:rPr>
          <w:rFonts w:ascii="Cambria Math" w:hAnsi="Cambria Math" w:cs="Utopia-Bold"/>
          <w:b/>
          <w:bCs/>
        </w:rPr>
        <w:t>𝛕</w:t>
      </w:r>
      <w:r>
        <w:rPr>
          <w:rFonts w:ascii="Fourier-Math-Letters-Italic" w:hAnsi="Fourier-Math-Letters-Italic" w:cs="Fourier-Math-Letters-Italic"/>
          <w:i/>
          <w:iCs/>
        </w:rPr>
        <w:t xml:space="preserve"> </w:t>
      </w:r>
      <w:r>
        <w:rPr>
          <w:rFonts w:ascii="Utopia-Bold" w:hAnsi="Utopia-Bold" w:cs="Utopia-Bold"/>
          <w:b/>
          <w:bCs/>
        </w:rPr>
        <w:t xml:space="preserve">: </w:t>
      </w:r>
      <w:r>
        <w:rPr>
          <w:rFonts w:ascii="Utopia-Regular" w:hAnsi="Utopia-Regular" w:cs="Utopia-Regular"/>
        </w:rPr>
        <w:t xml:space="preserve">Du grec, </w:t>
      </w:r>
      <w:proofErr w:type="spellStart"/>
      <w:r>
        <w:rPr>
          <w:rFonts w:ascii="Utopia-Regular" w:hAnsi="Utopia-Regular" w:cs="Utopia-Regular"/>
        </w:rPr>
        <w:t>tehknê</w:t>
      </w:r>
      <w:proofErr w:type="spellEnd"/>
      <w:r>
        <w:rPr>
          <w:rFonts w:ascii="Utopia-Regular" w:hAnsi="Utopia-Regular" w:cs="Utopia-Regular"/>
        </w:rPr>
        <w:t xml:space="preserve"> (savoir-faire), elles correspondent à une manière de réaliser la tâche. Elles ne portent que sur une partie de T. Plusieurs techniques sont possibles à la réalisation d’une même tâche. Elles peuvent être de nature algorithmique. Il faut enfin noter qu’au sein d’une institution I, on trouve généralement une seule technique associée à la réalisation d’un type de tâche.</w:t>
      </w:r>
    </w:p>
    <w:p w14:paraId="5ED9BE22" w14:textId="77777777" w:rsidR="002A55FA" w:rsidRDefault="002A55FA" w:rsidP="002A55FA">
      <w:pPr>
        <w:autoSpaceDE w:val="0"/>
        <w:autoSpaceDN w:val="0"/>
        <w:adjustRightInd w:val="0"/>
        <w:spacing w:after="0" w:line="240" w:lineRule="auto"/>
        <w:rPr>
          <w:rFonts w:ascii="Utopia-Regular" w:hAnsi="Utopia-Regular" w:cs="Utopia-Regular"/>
        </w:rPr>
      </w:pPr>
      <w:r>
        <w:rPr>
          <w:rFonts w:ascii="Utopia-Regular" w:hAnsi="Utopia-Regular" w:cs="Utopia-Regular"/>
        </w:rPr>
        <w:lastRenderedPageBreak/>
        <w:t>Analysons par exemple les techniques associées au type de tâche T : "saluer quelqu’un". Il existe de nombreuses techniques telles que :</w:t>
      </w:r>
    </w:p>
    <w:p w14:paraId="625FFE09" w14:textId="77777777" w:rsidR="002A55FA" w:rsidRDefault="002A55FA" w:rsidP="002A55FA">
      <w:pPr>
        <w:autoSpaceDE w:val="0"/>
        <w:autoSpaceDN w:val="0"/>
        <w:adjustRightInd w:val="0"/>
        <w:spacing w:after="0" w:line="240" w:lineRule="auto"/>
        <w:ind w:left="708"/>
        <w:rPr>
          <w:rFonts w:ascii="Utopia-Regular" w:hAnsi="Utopia-Regular" w:cs="Utopia-Regular"/>
        </w:rPr>
      </w:pPr>
      <w:proofErr w:type="gramStart"/>
      <w:r w:rsidRPr="000F01AB">
        <w:rPr>
          <w:rFonts w:ascii="Cambria Math" w:hAnsi="Cambria Math" w:cs="Utopia-Bold"/>
        </w:rPr>
        <w:t>𝛕</w:t>
      </w:r>
      <w:proofErr w:type="gramEnd"/>
      <w:r>
        <w:rPr>
          <w:rFonts w:ascii="Utopia-Regular" w:hAnsi="Utopia-Regular" w:cs="Utopia-Regular"/>
          <w:sz w:val="16"/>
          <w:szCs w:val="16"/>
        </w:rPr>
        <w:t xml:space="preserve">1 </w:t>
      </w:r>
      <w:r>
        <w:rPr>
          <w:rFonts w:ascii="Utopia-Bold" w:hAnsi="Utopia-Bold" w:cs="Utopia-Bold"/>
          <w:b/>
          <w:bCs/>
        </w:rPr>
        <w:t xml:space="preserve">: </w:t>
      </w:r>
      <w:r>
        <w:rPr>
          <w:rFonts w:ascii="Utopia-Regular" w:hAnsi="Utopia-Regular" w:cs="Utopia-Regular"/>
        </w:rPr>
        <w:t>Se serrer la main</w:t>
      </w:r>
    </w:p>
    <w:p w14:paraId="17A17763" w14:textId="77777777" w:rsidR="002A55FA" w:rsidRDefault="002A55FA" w:rsidP="002A55FA">
      <w:pPr>
        <w:autoSpaceDE w:val="0"/>
        <w:autoSpaceDN w:val="0"/>
        <w:adjustRightInd w:val="0"/>
        <w:spacing w:after="0" w:line="240" w:lineRule="auto"/>
        <w:ind w:left="708"/>
        <w:rPr>
          <w:rFonts w:ascii="Utopia-Regular" w:hAnsi="Utopia-Regular" w:cs="Utopia-Regular"/>
        </w:rPr>
      </w:pPr>
      <w:proofErr w:type="gramStart"/>
      <w:r w:rsidRPr="000F01AB">
        <w:rPr>
          <w:rFonts w:ascii="Cambria Math" w:hAnsi="Cambria Math" w:cs="Utopia-Bold"/>
        </w:rPr>
        <w:t>𝛕</w:t>
      </w:r>
      <w:proofErr w:type="gramEnd"/>
      <w:r>
        <w:rPr>
          <w:rFonts w:ascii="Utopia-Regular" w:hAnsi="Utopia-Regular" w:cs="Utopia-Regular"/>
          <w:sz w:val="16"/>
          <w:szCs w:val="16"/>
        </w:rPr>
        <w:t xml:space="preserve">2 </w:t>
      </w:r>
      <w:r>
        <w:rPr>
          <w:rFonts w:ascii="Utopia-Bold" w:hAnsi="Utopia-Bold" w:cs="Utopia-Bold"/>
          <w:b/>
          <w:bCs/>
        </w:rPr>
        <w:t xml:space="preserve">: </w:t>
      </w:r>
      <w:r>
        <w:rPr>
          <w:rFonts w:ascii="Utopia-Regular" w:hAnsi="Utopia-Regular" w:cs="Utopia-Regular"/>
        </w:rPr>
        <w:t>Se faire deux bises</w:t>
      </w:r>
    </w:p>
    <w:p w14:paraId="286DDBD2" w14:textId="77777777" w:rsidR="002A55FA" w:rsidRDefault="002A55FA" w:rsidP="002A55FA">
      <w:pPr>
        <w:autoSpaceDE w:val="0"/>
        <w:autoSpaceDN w:val="0"/>
        <w:adjustRightInd w:val="0"/>
        <w:spacing w:after="0" w:line="240" w:lineRule="auto"/>
        <w:ind w:left="708"/>
        <w:rPr>
          <w:rFonts w:ascii="Utopia-Regular" w:hAnsi="Utopia-Regular" w:cs="Utopia-Regular"/>
        </w:rPr>
      </w:pPr>
      <w:proofErr w:type="gramStart"/>
      <w:r w:rsidRPr="000F01AB">
        <w:rPr>
          <w:rFonts w:ascii="Cambria Math" w:hAnsi="Cambria Math" w:cs="Utopia-Bold"/>
        </w:rPr>
        <w:t>𝛕</w:t>
      </w:r>
      <w:proofErr w:type="gramEnd"/>
      <w:r>
        <w:rPr>
          <w:rFonts w:ascii="Utopia-Regular" w:hAnsi="Utopia-Regular" w:cs="Utopia-Regular"/>
          <w:sz w:val="16"/>
          <w:szCs w:val="16"/>
        </w:rPr>
        <w:t xml:space="preserve">3 </w:t>
      </w:r>
      <w:r>
        <w:rPr>
          <w:rFonts w:ascii="Utopia-Bold" w:hAnsi="Utopia-Bold" w:cs="Utopia-Bold"/>
          <w:b/>
          <w:bCs/>
        </w:rPr>
        <w:t xml:space="preserve">: </w:t>
      </w:r>
      <w:r>
        <w:rPr>
          <w:rFonts w:ascii="Utopia-Regular" w:hAnsi="Utopia-Regular" w:cs="Utopia-Regular"/>
        </w:rPr>
        <w:t>Se faire trois bises</w:t>
      </w:r>
    </w:p>
    <w:p w14:paraId="1996CC60" w14:textId="77777777" w:rsidR="002A55FA" w:rsidRDefault="002A55FA" w:rsidP="002A55FA">
      <w:pPr>
        <w:autoSpaceDE w:val="0"/>
        <w:autoSpaceDN w:val="0"/>
        <w:adjustRightInd w:val="0"/>
        <w:spacing w:after="0" w:line="240" w:lineRule="auto"/>
        <w:ind w:left="708"/>
        <w:rPr>
          <w:rFonts w:ascii="Utopia-Regular" w:hAnsi="Utopia-Regular" w:cs="Utopia-Regular"/>
        </w:rPr>
      </w:pPr>
      <w:proofErr w:type="gramStart"/>
      <w:r w:rsidRPr="000F01AB">
        <w:rPr>
          <w:rFonts w:ascii="Cambria Math" w:hAnsi="Cambria Math" w:cs="Utopia-Bold"/>
        </w:rPr>
        <w:t>𝛕</w:t>
      </w:r>
      <w:proofErr w:type="gramEnd"/>
      <w:r>
        <w:rPr>
          <w:rFonts w:ascii="Utopia-Regular" w:hAnsi="Utopia-Regular" w:cs="Utopia-Regular"/>
          <w:sz w:val="16"/>
          <w:szCs w:val="16"/>
        </w:rPr>
        <w:t xml:space="preserve">4 </w:t>
      </w:r>
      <w:r>
        <w:rPr>
          <w:rFonts w:ascii="Utopia-Bold" w:hAnsi="Utopia-Bold" w:cs="Utopia-Bold"/>
          <w:b/>
          <w:bCs/>
        </w:rPr>
        <w:t xml:space="preserve">: </w:t>
      </w:r>
      <w:r>
        <w:rPr>
          <w:rFonts w:ascii="Utopia-Regular" w:hAnsi="Utopia-Regular" w:cs="Utopia-Regular"/>
        </w:rPr>
        <w:t>Frotter son nez avec celui de l’autre personne</w:t>
      </w:r>
    </w:p>
    <w:p w14:paraId="492B447C" w14:textId="77777777" w:rsidR="002A55FA" w:rsidRDefault="002A55FA" w:rsidP="002A55FA">
      <w:pPr>
        <w:autoSpaceDE w:val="0"/>
        <w:autoSpaceDN w:val="0"/>
        <w:adjustRightInd w:val="0"/>
        <w:spacing w:after="0" w:line="240" w:lineRule="auto"/>
        <w:ind w:left="708"/>
        <w:rPr>
          <w:rFonts w:ascii="Utopia-Regular" w:hAnsi="Utopia-Regular" w:cs="Utopia-Regular"/>
        </w:rPr>
      </w:pPr>
      <w:proofErr w:type="gramStart"/>
      <w:r w:rsidRPr="000F01AB">
        <w:rPr>
          <w:rFonts w:ascii="Cambria Math" w:hAnsi="Cambria Math" w:cs="Utopia-Bold"/>
        </w:rPr>
        <w:t>𝛕</w:t>
      </w:r>
      <w:proofErr w:type="gramEnd"/>
      <w:r>
        <w:rPr>
          <w:rFonts w:ascii="Utopia-Regular" w:hAnsi="Utopia-Regular" w:cs="Utopia-Regular"/>
          <w:sz w:val="16"/>
          <w:szCs w:val="16"/>
        </w:rPr>
        <w:t xml:space="preserve">5 </w:t>
      </w:r>
      <w:r>
        <w:rPr>
          <w:rFonts w:ascii="Utopia-Bold" w:hAnsi="Utopia-Bold" w:cs="Utopia-Bold"/>
          <w:b/>
          <w:bCs/>
        </w:rPr>
        <w:t xml:space="preserve">: </w:t>
      </w:r>
      <w:r>
        <w:rPr>
          <w:rFonts w:ascii="Utopia-Regular" w:hAnsi="Utopia-Regular" w:cs="Utopia-Regular"/>
        </w:rPr>
        <w:t>Joindre les deux mains en prière ...</w:t>
      </w:r>
    </w:p>
    <w:p w14:paraId="1BEF1913" w14:textId="77777777" w:rsidR="002A55FA" w:rsidRDefault="002A55FA" w:rsidP="002A55FA">
      <w:pPr>
        <w:autoSpaceDE w:val="0"/>
        <w:autoSpaceDN w:val="0"/>
        <w:adjustRightInd w:val="0"/>
        <w:spacing w:after="0" w:line="240" w:lineRule="auto"/>
        <w:rPr>
          <w:rFonts w:ascii="Utopia-Regular" w:hAnsi="Utopia-Regular" w:cs="Utopia-Regular"/>
        </w:rPr>
      </w:pPr>
    </w:p>
    <w:p w14:paraId="3EA1A114" w14:textId="77777777" w:rsidR="002A55FA" w:rsidRDefault="002A55FA" w:rsidP="002A55FA">
      <w:pPr>
        <w:autoSpaceDE w:val="0"/>
        <w:autoSpaceDN w:val="0"/>
        <w:adjustRightInd w:val="0"/>
        <w:spacing w:after="0" w:line="240" w:lineRule="auto"/>
        <w:rPr>
          <w:rFonts w:ascii="Utopia-Regular" w:hAnsi="Utopia-Regular" w:cs="Utopia-Regular"/>
        </w:rPr>
      </w:pPr>
      <w:r>
        <w:rPr>
          <w:rFonts w:ascii="Utopia-Regular" w:hAnsi="Utopia-Regular" w:cs="Utopia-Regular"/>
        </w:rPr>
        <w:t>On peut noter que chaque technique est associée à différentes institutions. Ces différentes techniques, ayant pour but la résolution du même type de tâches, restent cantonnées à certains espaces sociaux ou géographique. Il est ainsi rare de voir par exemple deux femmes du sud-ouest de la France travaillant dans le milieu financier se saluer en se frottant le nez avant de conclure un important contrat.</w:t>
      </w:r>
    </w:p>
    <w:p w14:paraId="59AD586D" w14:textId="77777777" w:rsidR="002A55FA" w:rsidRDefault="002A55FA" w:rsidP="002A55FA">
      <w:pPr>
        <w:autoSpaceDE w:val="0"/>
        <w:autoSpaceDN w:val="0"/>
        <w:adjustRightInd w:val="0"/>
        <w:spacing w:after="0" w:line="240" w:lineRule="auto"/>
        <w:rPr>
          <w:rFonts w:ascii="Utopia-Regular" w:hAnsi="Utopia-Regular" w:cs="Utopia-Regular"/>
        </w:rPr>
      </w:pPr>
    </w:p>
    <w:p w14:paraId="6A263778" w14:textId="77777777" w:rsidR="002A55FA" w:rsidRDefault="002A55FA" w:rsidP="002A55FA">
      <w:pPr>
        <w:autoSpaceDE w:val="0"/>
        <w:autoSpaceDN w:val="0"/>
        <w:adjustRightInd w:val="0"/>
        <w:spacing w:after="0" w:line="240" w:lineRule="auto"/>
        <w:rPr>
          <w:rFonts w:ascii="Utopia-Regular" w:hAnsi="Utopia-Regular" w:cs="Utopia-Regular"/>
        </w:rPr>
      </w:pPr>
      <w:r>
        <w:rPr>
          <w:rFonts w:ascii="Utopia-Bold" w:hAnsi="Utopia-Bold" w:cs="Utopia-Bold"/>
          <w:b/>
          <w:bCs/>
        </w:rPr>
        <w:t xml:space="preserve">La technologie </w:t>
      </w:r>
      <w:r>
        <w:rPr>
          <w:rFonts w:ascii="Cambria Math" w:hAnsi="Cambria Math" w:cs="Fourier-Math-Letters-Italic"/>
          <w:i/>
          <w:iCs/>
        </w:rPr>
        <w:t>𝜃</w:t>
      </w:r>
      <w:r>
        <w:rPr>
          <w:rFonts w:ascii="Fourier-Math-Letters-Italic" w:hAnsi="Fourier-Math-Letters-Italic" w:cs="Fourier-Math-Letters-Italic"/>
          <w:i/>
          <w:iCs/>
        </w:rPr>
        <w:t xml:space="preserve"> </w:t>
      </w:r>
      <w:r>
        <w:rPr>
          <w:rFonts w:ascii="Utopia-Bold" w:hAnsi="Utopia-Bold" w:cs="Utopia-Bold"/>
          <w:b/>
          <w:bCs/>
        </w:rPr>
        <w:t xml:space="preserve">: </w:t>
      </w:r>
      <w:r>
        <w:rPr>
          <w:rFonts w:ascii="Utopia-Regular" w:hAnsi="Utopia-Regular" w:cs="Utopia-Regular"/>
        </w:rPr>
        <w:t xml:space="preserve">Du grec </w:t>
      </w:r>
      <w:proofErr w:type="spellStart"/>
      <w:r>
        <w:rPr>
          <w:rFonts w:ascii="Utopia-Regular" w:hAnsi="Utopia-Regular" w:cs="Utopia-Regular"/>
        </w:rPr>
        <w:t>tehknê</w:t>
      </w:r>
      <w:proofErr w:type="spellEnd"/>
      <w:r>
        <w:rPr>
          <w:rFonts w:ascii="Utopia-Regular" w:hAnsi="Utopia-Regular" w:cs="Utopia-Regular"/>
        </w:rPr>
        <w:t xml:space="preserve"> et logos (discours rationnel), elle représente la justification de la technique. Elle prouve que l’utilisation de la technique </w:t>
      </w:r>
      <w:r w:rsidRPr="000F01AB">
        <w:rPr>
          <w:rFonts w:ascii="Cambria Math" w:hAnsi="Cambria Math" w:cs="Utopia-Bold"/>
        </w:rPr>
        <w:t>𝛕</w:t>
      </w:r>
      <w:r>
        <w:rPr>
          <w:rFonts w:ascii="Fourier-Math-Letters-Italic" w:hAnsi="Fourier-Math-Letters-Italic" w:cs="Fourier-Math-Letters-Italic"/>
          <w:i/>
          <w:iCs/>
        </w:rPr>
        <w:t xml:space="preserve"> </w:t>
      </w:r>
      <w:r>
        <w:rPr>
          <w:rFonts w:ascii="Utopia-Regular" w:hAnsi="Utopia-Regular" w:cs="Utopia-Regular"/>
        </w:rPr>
        <w:t xml:space="preserve">résout bien le type de tâche T, et ainsi que l’on résout d’une manière correcte notre problème. Cette justification peut présenter différents niveaux de raisonnement, et sera bien souvent différente, en fonction de l’institution dans laquelle est exercée la technique. On peut ainsi voir des technologies avancées par certaines institutions qui paraîtront peu rationnelles à d’autres. Ainsi en parlait Paul Valery : </w:t>
      </w:r>
      <w:r>
        <w:rPr>
          <w:rFonts w:ascii="Utopia-Italic" w:hAnsi="Utopia-Italic" w:cs="Utopia-Italic"/>
          <w:i/>
          <w:iCs/>
        </w:rPr>
        <w:t xml:space="preserve">"chacun se sert de l’esprit qu’il a. Un </w:t>
      </w:r>
      <w:proofErr w:type="spellStart"/>
      <w:r>
        <w:rPr>
          <w:rFonts w:ascii="Utopia-Italic" w:hAnsi="Utopia-Italic" w:cs="Utopia-Italic"/>
          <w:i/>
          <w:iCs/>
        </w:rPr>
        <w:t>manoeuvre</w:t>
      </w:r>
      <w:proofErr w:type="spellEnd"/>
      <w:r>
        <w:rPr>
          <w:rFonts w:ascii="Utopia-Italic" w:hAnsi="Utopia-Italic" w:cs="Utopia-Italic"/>
          <w:i/>
          <w:iCs/>
        </w:rPr>
        <w:t xml:space="preserve"> se sert du sien, par rapport à soi, autant que quiconque, philosophe ou géomètre. Si ses discours nous semblent grossiers et trop simples, les nôtres lui sont étranges ou absurdes"</w:t>
      </w:r>
    </w:p>
    <w:p w14:paraId="572AE9AF" w14:textId="77777777" w:rsidR="002A55FA" w:rsidRDefault="002A55FA" w:rsidP="002A55FA">
      <w:pPr>
        <w:autoSpaceDE w:val="0"/>
        <w:autoSpaceDN w:val="0"/>
        <w:adjustRightInd w:val="0"/>
        <w:spacing w:after="0" w:line="240" w:lineRule="auto"/>
        <w:rPr>
          <w:rFonts w:ascii="Utopia-Regular" w:hAnsi="Utopia-Regular" w:cs="Utopia-Regular"/>
        </w:rPr>
      </w:pPr>
    </w:p>
    <w:p w14:paraId="455C19AE" w14:textId="5BDC08BD" w:rsidR="002A55FA" w:rsidRPr="002A55FA" w:rsidRDefault="002A55FA" w:rsidP="002A55FA">
      <w:pPr>
        <w:autoSpaceDE w:val="0"/>
        <w:autoSpaceDN w:val="0"/>
        <w:adjustRightInd w:val="0"/>
        <w:spacing w:after="0" w:line="240" w:lineRule="auto"/>
        <w:rPr>
          <w:rFonts w:ascii="Utopia-Italic" w:hAnsi="Utopia-Italic" w:cs="Utopia-Italic"/>
          <w:i/>
          <w:iCs/>
        </w:rPr>
      </w:pPr>
      <w:r>
        <w:rPr>
          <w:rFonts w:ascii="Utopia-Regular" w:hAnsi="Utopia-Regular" w:cs="Utopia-Regular"/>
        </w:rPr>
        <w:t>Cet aspect découle du fait que</w:t>
      </w:r>
      <w:r>
        <w:rPr>
          <w:rFonts w:ascii="Utopia-Italic" w:hAnsi="Utopia-Italic" w:cs="Utopia-Italic"/>
          <w:i/>
          <w:iCs/>
        </w:rPr>
        <w:t xml:space="preserve"> </w:t>
      </w:r>
      <w:r>
        <w:rPr>
          <w:rFonts w:ascii="Utopia-Regular" w:hAnsi="Utopia-Regular" w:cs="Utopia-Regular"/>
        </w:rPr>
        <w:t>la technologie est associée à une technique, elle-même associée à une institution,</w:t>
      </w:r>
      <w:r>
        <w:rPr>
          <w:rFonts w:ascii="Utopia-Italic" w:hAnsi="Utopia-Italic" w:cs="Utopia-Italic"/>
          <w:i/>
          <w:iCs/>
        </w:rPr>
        <w:t xml:space="preserve"> </w:t>
      </w:r>
      <w:r>
        <w:rPr>
          <w:rFonts w:ascii="Utopia-Regular" w:hAnsi="Utopia-Regular" w:cs="Utopia-Regular"/>
        </w:rPr>
        <w:t>et à une forme différente du rapport au savoir. Chevallard parle de "</w:t>
      </w:r>
      <w:r>
        <w:rPr>
          <w:rFonts w:ascii="Utopia-Italic" w:hAnsi="Utopia-Italic" w:cs="Utopia-Italic"/>
          <w:i/>
          <w:iCs/>
        </w:rPr>
        <w:t>technique canonique</w:t>
      </w:r>
      <w:r>
        <w:rPr>
          <w:rFonts w:ascii="Utopia-Regular" w:hAnsi="Utopia-Regular" w:cs="Utopia-Regular"/>
        </w:rPr>
        <w:t>", pratiquée au sein de I, qui est bien souvent auto-technologique. "On</w:t>
      </w:r>
      <w:r>
        <w:rPr>
          <w:rFonts w:ascii="Utopia-Italic" w:hAnsi="Utopia-Italic" w:cs="Utopia-Italic"/>
          <w:i/>
          <w:iCs/>
        </w:rPr>
        <w:t xml:space="preserve"> </w:t>
      </w:r>
      <w:r>
        <w:rPr>
          <w:rFonts w:ascii="Utopia-Regular" w:hAnsi="Utopia-Regular" w:cs="Utopia-Regular"/>
        </w:rPr>
        <w:t>fait comme cela car c’est LA bonne manière de faire".</w:t>
      </w:r>
    </w:p>
    <w:p w14:paraId="3AD68C2E" w14:textId="27875E79" w:rsidR="002A55FA" w:rsidRDefault="001B1CB3" w:rsidP="002A55FA">
      <w:r>
        <w:rPr>
          <w:noProof/>
        </w:rPr>
        <w:drawing>
          <wp:anchor distT="0" distB="0" distL="114300" distR="114300" simplePos="0" relativeHeight="251670528" behindDoc="1" locked="0" layoutInCell="1" allowOverlap="1" wp14:anchorId="0DBD44EA" wp14:editId="68CE2797">
            <wp:simplePos x="0" y="0"/>
            <wp:positionH relativeFrom="column">
              <wp:posOffset>-572457</wp:posOffset>
            </wp:positionH>
            <wp:positionV relativeFrom="paragraph">
              <wp:posOffset>312941</wp:posOffset>
            </wp:positionV>
            <wp:extent cx="390525" cy="374650"/>
            <wp:effectExtent l="0" t="0" r="9525" b="6350"/>
            <wp:wrapTight wrapText="bothSides">
              <wp:wrapPolygon edited="0">
                <wp:start x="0" y="0"/>
                <wp:lineTo x="0" y="20868"/>
                <wp:lineTo x="21073" y="20868"/>
                <wp:lineTo x="21073" y="0"/>
                <wp:lineTo x="0" y="0"/>
              </wp:wrapPolygon>
            </wp:wrapTight>
            <wp:docPr id="4" name="Image 4" descr="Groupes Froid et Pompes à Chaleur | System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upes Froid et Pompes à Chaleur | Systemair"/>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4146" t="5314" r="18933" b="5014"/>
                    <a:stretch/>
                  </pic:blipFill>
                  <pic:spPr bwMode="auto">
                    <a:xfrm>
                      <a:off x="0" y="0"/>
                      <a:ext cx="390525" cy="374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CC9A19" w14:textId="098752FD" w:rsidR="002A55FA" w:rsidRPr="007F2B7B" w:rsidRDefault="002A55FA" w:rsidP="002A55FA">
      <w:pPr>
        <w:rPr>
          <w:b/>
          <w:bCs/>
        </w:rPr>
      </w:pPr>
      <w:r w:rsidRPr="007F2B7B">
        <w:rPr>
          <w:b/>
          <w:bCs/>
        </w:rPr>
        <w:t xml:space="preserve">Activité </w:t>
      </w:r>
      <w:r>
        <w:rPr>
          <w:b/>
          <w:bCs/>
        </w:rPr>
        <w:t>3</w:t>
      </w:r>
      <w:r w:rsidRPr="007F2B7B">
        <w:rPr>
          <w:b/>
          <w:bCs/>
        </w:rPr>
        <w:t xml:space="preserve"> – </w:t>
      </w:r>
      <w:r>
        <w:rPr>
          <w:b/>
          <w:bCs/>
        </w:rPr>
        <w:t>Analyse d’un dossier pédagogique</w:t>
      </w:r>
    </w:p>
    <w:p w14:paraId="6B40A5AB" w14:textId="77777777" w:rsidR="002A55FA" w:rsidRDefault="002A55FA" w:rsidP="002A55FA">
      <w:pPr>
        <w:jc w:val="center"/>
      </w:pPr>
      <w:r>
        <w:rPr>
          <w:rFonts w:eastAsiaTheme="minorEastAsia"/>
          <w:noProof/>
        </w:rPr>
        <w:drawing>
          <wp:inline distT="0" distB="0" distL="0" distR="0" wp14:anchorId="6797F2D4" wp14:editId="4B4B9811">
            <wp:extent cx="4389026" cy="1376472"/>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64415" cy="1431477"/>
                    </a:xfrm>
                    <a:prstGeom prst="rect">
                      <a:avLst/>
                    </a:prstGeom>
                    <a:noFill/>
                    <a:ln>
                      <a:noFill/>
                    </a:ln>
                  </pic:spPr>
                </pic:pic>
              </a:graphicData>
            </a:graphic>
          </wp:inline>
        </w:drawing>
      </w:r>
    </w:p>
    <w:p w14:paraId="2A20833D" w14:textId="77777777" w:rsidR="002A55FA" w:rsidRDefault="002A55FA" w:rsidP="002A55FA">
      <w:r>
        <w:t>A partir de l’activité « Agrandissements, Réductions et théorème de Thales », construire l’analyse praxéologique de l’outil du théorème de Thales déployé dans l’activité</w:t>
      </w:r>
    </w:p>
    <w:p w14:paraId="3C578737" w14:textId="77777777" w:rsidR="002A55FA" w:rsidRDefault="002A55FA" w:rsidP="002A55FA">
      <w:pPr>
        <w:pStyle w:val="Paragraphedeliste"/>
        <w:numPr>
          <w:ilvl w:val="0"/>
          <w:numId w:val="8"/>
        </w:numPr>
      </w:pPr>
      <w:r>
        <w:t xml:space="preserve">Quels sont les atouts d’une telle approche ? </w:t>
      </w:r>
    </w:p>
    <w:p w14:paraId="04EB0A79" w14:textId="77777777" w:rsidR="002A55FA" w:rsidRDefault="002A55FA" w:rsidP="002A55FA">
      <w:pPr>
        <w:pStyle w:val="Paragraphedeliste"/>
        <w:numPr>
          <w:ilvl w:val="0"/>
          <w:numId w:val="8"/>
        </w:numPr>
      </w:pPr>
      <w:r>
        <w:t xml:space="preserve">Quels-en sont les défauts ? </w:t>
      </w:r>
    </w:p>
    <w:p w14:paraId="47FD6DFE" w14:textId="77777777" w:rsidR="002A55FA" w:rsidRDefault="002A55FA" w:rsidP="002A55FA"/>
    <w:p w14:paraId="7D2D27CD" w14:textId="38DB2D76" w:rsidR="002A55FA" w:rsidRDefault="00DB760E" w:rsidP="002A55FA">
      <w:r w:rsidRPr="009A6173">
        <w:rPr>
          <w:rFonts w:ascii="Quicksand" w:eastAsia="Noto Sans JP" w:hAnsi="Quicksand" w:cstheme="minorHAnsi"/>
          <w:b/>
          <w:bCs/>
          <w:noProof/>
          <w:sz w:val="28"/>
          <w:szCs w:val="28"/>
        </w:rPr>
        <w:drawing>
          <wp:anchor distT="0" distB="0" distL="114300" distR="114300" simplePos="0" relativeHeight="251667456" behindDoc="0" locked="0" layoutInCell="1" allowOverlap="1" wp14:anchorId="183EDA65" wp14:editId="54CB3294">
            <wp:simplePos x="0" y="0"/>
            <wp:positionH relativeFrom="column">
              <wp:posOffset>-457835</wp:posOffset>
            </wp:positionH>
            <wp:positionV relativeFrom="paragraph">
              <wp:posOffset>274955</wp:posOffset>
            </wp:positionV>
            <wp:extent cx="280670" cy="363855"/>
            <wp:effectExtent l="0" t="0" r="508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670" cy="3638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6E6FCA" w14:textId="0E7EFDCC" w:rsidR="002A55FA" w:rsidRDefault="002A55FA" w:rsidP="002A55FA">
      <w:r>
        <w:rPr>
          <w:b/>
          <w:bCs/>
          <w:sz w:val="28"/>
          <w:szCs w:val="28"/>
        </w:rPr>
        <w:t>I</w:t>
      </w:r>
      <w:r w:rsidRPr="002E7B1D">
        <w:rPr>
          <w:b/>
          <w:bCs/>
          <w:sz w:val="28"/>
          <w:szCs w:val="28"/>
        </w:rPr>
        <w:t>I</w:t>
      </w:r>
      <w:r>
        <w:rPr>
          <w:b/>
          <w:bCs/>
          <w:sz w:val="28"/>
          <w:szCs w:val="28"/>
        </w:rPr>
        <w:t>I</w:t>
      </w:r>
      <w:r w:rsidRPr="002E7B1D">
        <w:rPr>
          <w:b/>
          <w:bCs/>
          <w:sz w:val="28"/>
          <w:szCs w:val="28"/>
        </w:rPr>
        <w:t xml:space="preserve"> – Approche </w:t>
      </w:r>
      <w:r>
        <w:rPr>
          <w:b/>
          <w:bCs/>
          <w:sz w:val="28"/>
          <w:szCs w:val="28"/>
        </w:rPr>
        <w:t>disciplinaire</w:t>
      </w:r>
    </w:p>
    <w:p w14:paraId="3ADCDB74" w14:textId="77777777" w:rsidR="000155DD" w:rsidRDefault="002A55FA" w:rsidP="002A55FA">
      <w:r>
        <w:t>Résoudre la feuille d’exercices données en annexe.</w:t>
      </w:r>
    </w:p>
    <w:p w14:paraId="2D2BF5F5" w14:textId="6A82E6CB" w:rsidR="002A55FA" w:rsidRPr="002A55FA" w:rsidRDefault="00DB760E" w:rsidP="002A55FA">
      <w:r>
        <w:rPr>
          <w:noProof/>
        </w:rPr>
        <w:lastRenderedPageBreak/>
        <w:drawing>
          <wp:anchor distT="0" distB="0" distL="114300" distR="114300" simplePos="0" relativeHeight="251668480" behindDoc="1" locked="0" layoutInCell="1" allowOverlap="1" wp14:anchorId="7BD4D8C8" wp14:editId="5C081501">
            <wp:simplePos x="0" y="0"/>
            <wp:positionH relativeFrom="column">
              <wp:posOffset>-571500</wp:posOffset>
            </wp:positionH>
            <wp:positionV relativeFrom="paragraph">
              <wp:posOffset>228600</wp:posOffset>
            </wp:positionV>
            <wp:extent cx="436131" cy="404495"/>
            <wp:effectExtent l="0" t="0" r="2540" b="0"/>
            <wp:wrapTight wrapText="bothSides">
              <wp:wrapPolygon edited="0">
                <wp:start x="0" y="0"/>
                <wp:lineTo x="0" y="20345"/>
                <wp:lineTo x="20781" y="20345"/>
                <wp:lineTo x="20781" y="0"/>
                <wp:lineTo x="0" y="0"/>
              </wp:wrapPolygon>
            </wp:wrapTight>
            <wp:docPr id="3" name="Image 3" descr="Ampoule Picto : images, photos et images vectorielles de stock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poule Picto : images, photos et images vectorielles de stock |  Shutterstock"/>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231" t="11430" r="16538" b="24642"/>
                    <a:stretch/>
                  </pic:blipFill>
                  <pic:spPr bwMode="auto">
                    <a:xfrm>
                      <a:off x="0" y="0"/>
                      <a:ext cx="436131" cy="404495"/>
                    </a:xfrm>
                    <a:prstGeom prst="rect">
                      <a:avLst/>
                    </a:prstGeom>
                    <a:noFill/>
                    <a:ln>
                      <a:noFill/>
                    </a:ln>
                    <a:extLst>
                      <a:ext uri="{53640926-AAD7-44D8-BBD7-CCE9431645EC}">
                        <a14:shadowObscured xmlns:a14="http://schemas.microsoft.com/office/drawing/2010/main"/>
                      </a:ext>
                    </a:extLst>
                  </pic:spPr>
                </pic:pic>
              </a:graphicData>
            </a:graphic>
          </wp:anchor>
        </w:drawing>
      </w:r>
      <w:r w:rsidR="002A55FA" w:rsidRPr="002E7B1D">
        <w:rPr>
          <w:b/>
          <w:bCs/>
          <w:sz w:val="28"/>
          <w:szCs w:val="28"/>
        </w:rPr>
        <w:t>IV – Démonstration</w:t>
      </w:r>
      <w:r w:rsidR="002A55FA">
        <w:rPr>
          <w:b/>
          <w:bCs/>
          <w:sz w:val="28"/>
          <w:szCs w:val="28"/>
        </w:rPr>
        <w:t>s pour l’oral</w:t>
      </w:r>
    </w:p>
    <w:p w14:paraId="0A879212" w14:textId="77777777" w:rsidR="002A55FA" w:rsidRDefault="002A55FA" w:rsidP="002A55FA">
      <w:pPr>
        <w:rPr>
          <w:b/>
          <w:bCs/>
        </w:rPr>
      </w:pPr>
    </w:p>
    <w:p w14:paraId="348F76E0" w14:textId="77777777" w:rsidR="002A55FA" w:rsidRDefault="002A55FA" w:rsidP="002A55FA">
      <w:pPr>
        <w:rPr>
          <w:b/>
          <w:bCs/>
          <w:u w:val="single"/>
        </w:rPr>
        <w:sectPr w:rsidR="002A55FA">
          <w:pgSz w:w="11906" w:h="16838"/>
          <w:pgMar w:top="1417" w:right="1417" w:bottom="1417" w:left="1417" w:header="708" w:footer="708" w:gutter="0"/>
          <w:cols w:space="708"/>
          <w:docGrid w:linePitch="360"/>
        </w:sectPr>
      </w:pPr>
    </w:p>
    <w:p w14:paraId="0DFB7CC2" w14:textId="1E18B2C8" w:rsidR="002A55FA" w:rsidRPr="002E7B1D" w:rsidRDefault="002A55FA" w:rsidP="002A55FA">
      <w:pPr>
        <w:rPr>
          <w:b/>
          <w:bCs/>
          <w:u w:val="single"/>
        </w:rPr>
      </w:pPr>
      <w:r w:rsidRPr="002E7B1D">
        <w:rPr>
          <w:b/>
          <w:bCs/>
          <w:u w:val="single"/>
        </w:rPr>
        <w:t>Définitions :</w:t>
      </w:r>
    </w:p>
    <w:p w14:paraId="03EDC525" w14:textId="77777777" w:rsidR="002A55FA" w:rsidRPr="00421E81" w:rsidRDefault="002A55FA" w:rsidP="002A55FA">
      <w:pPr>
        <w:pStyle w:val="Paragraphedeliste"/>
        <w:numPr>
          <w:ilvl w:val="0"/>
          <w:numId w:val="2"/>
        </w:numPr>
        <w:rPr>
          <w:b/>
          <w:bCs/>
        </w:rPr>
      </w:pPr>
      <w:r>
        <w:t>Définir le déterminant de deux vecteurs</w:t>
      </w:r>
    </w:p>
    <w:p w14:paraId="53B0C56D" w14:textId="77777777" w:rsidR="002A55FA" w:rsidRPr="00421E81" w:rsidRDefault="002A55FA" w:rsidP="002A55FA">
      <w:pPr>
        <w:pStyle w:val="Paragraphedeliste"/>
        <w:numPr>
          <w:ilvl w:val="0"/>
          <w:numId w:val="2"/>
        </w:numPr>
        <w:rPr>
          <w:b/>
          <w:bCs/>
        </w:rPr>
      </w:pPr>
      <w:r>
        <w:t>Définir le produit scalaire de deux vecteurs</w:t>
      </w:r>
    </w:p>
    <w:p w14:paraId="3F92CE26" w14:textId="77777777" w:rsidR="002A55FA" w:rsidRDefault="002A55FA" w:rsidP="002A55FA">
      <w:pPr>
        <w:rPr>
          <w:b/>
          <w:bCs/>
        </w:rPr>
      </w:pPr>
    </w:p>
    <w:p w14:paraId="7DFB62B0" w14:textId="77777777" w:rsidR="002A55FA" w:rsidRPr="002E7B1D" w:rsidRDefault="002A55FA" w:rsidP="002A55FA">
      <w:pPr>
        <w:rPr>
          <w:b/>
          <w:bCs/>
          <w:u w:val="single"/>
        </w:rPr>
      </w:pPr>
      <w:r w:rsidRPr="002E7B1D">
        <w:rPr>
          <w:b/>
          <w:bCs/>
          <w:u w:val="single"/>
        </w:rPr>
        <w:t>Propriétés :</w:t>
      </w:r>
    </w:p>
    <w:p w14:paraId="300606CE" w14:textId="77777777" w:rsidR="002A55FA" w:rsidRPr="00421E81" w:rsidRDefault="002A55FA" w:rsidP="002A55FA">
      <w:pPr>
        <w:pStyle w:val="Paragraphedeliste"/>
        <w:numPr>
          <w:ilvl w:val="0"/>
          <w:numId w:val="2"/>
        </w:numPr>
        <w:rPr>
          <w:b/>
          <w:bCs/>
        </w:rPr>
      </w:pPr>
      <w:r>
        <w:t>Donner le lien entre l’aire d’un parallélogramme engendré par deux vecteurs et le déterminant de ces 2 vecteurs</w:t>
      </w:r>
    </w:p>
    <w:p w14:paraId="188709CB" w14:textId="6CAB92D5" w:rsidR="002A55FA" w:rsidRPr="000155DD" w:rsidRDefault="002A55FA" w:rsidP="002A55FA">
      <w:pPr>
        <w:pStyle w:val="Paragraphedeliste"/>
        <w:numPr>
          <w:ilvl w:val="0"/>
          <w:numId w:val="2"/>
        </w:numPr>
        <w:rPr>
          <w:b/>
          <w:bCs/>
        </w:rPr>
        <w:sectPr w:rsidR="002A55FA" w:rsidRPr="000155DD" w:rsidSect="002A55FA">
          <w:type w:val="continuous"/>
          <w:pgSz w:w="11906" w:h="16838"/>
          <w:pgMar w:top="1417" w:right="1417" w:bottom="1417" w:left="1417" w:header="708" w:footer="708" w:gutter="0"/>
          <w:cols w:num="2" w:space="708"/>
          <w:docGrid w:linePitch="360"/>
        </w:sectPr>
      </w:pPr>
      <w:r>
        <w:t xml:space="preserve">Donner la valeur de </w:t>
      </w:r>
      <m:oMath>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AB</m:t>
            </m:r>
          </m:e>
        </m:acc>
      </m:oMath>
    </w:p>
    <w:p w14:paraId="7AC430B8" w14:textId="77777777" w:rsidR="002A55FA" w:rsidRPr="002E7B1D" w:rsidRDefault="002A55FA" w:rsidP="002A55FA">
      <w:pPr>
        <w:rPr>
          <w:b/>
          <w:bCs/>
          <w:u w:val="single"/>
        </w:rPr>
      </w:pPr>
      <w:r w:rsidRPr="002E7B1D">
        <w:rPr>
          <w:b/>
          <w:bCs/>
          <w:u w:val="single"/>
        </w:rPr>
        <w:t>Démonstration :</w:t>
      </w:r>
    </w:p>
    <w:p w14:paraId="538DEF30" w14:textId="77777777" w:rsidR="002A55FA" w:rsidRPr="008B3162" w:rsidRDefault="002A55FA" w:rsidP="002A55FA">
      <w:r>
        <w:t xml:space="preserve">Soit ABC, un triangle direct. On désignera sa surface par A, et son demi-périmètre par p. On notera de plus </w:t>
      </w:r>
      <m:oMath>
        <m:r>
          <w:rPr>
            <w:rFonts w:ascii="Cambria Math" w:hAnsi="Cambria Math"/>
          </w:rPr>
          <m:t>AB = c    BC = a   et   AC =b</m:t>
        </m:r>
      </m:oMath>
    </w:p>
    <w:p w14:paraId="071DF775" w14:textId="77777777" w:rsidR="002A55FA" w:rsidRDefault="002A55FA" w:rsidP="002A55FA">
      <w:pPr>
        <w:pStyle w:val="Paragraphedeliste"/>
        <w:numPr>
          <w:ilvl w:val="0"/>
          <w:numId w:val="5"/>
        </w:numPr>
        <w:rPr>
          <w:b/>
          <w:bCs/>
        </w:rPr>
      </w:pPr>
      <w:r>
        <w:rPr>
          <w:b/>
          <w:bCs/>
        </w:rPr>
        <w:t xml:space="preserve">Prouver que </w:t>
      </w:r>
      <m:oMath>
        <m:r>
          <m:rPr>
            <m:sty m:val="bi"/>
          </m:rPr>
          <w:rPr>
            <w:rFonts w:ascii="Cambria Math" w:hAnsi="Cambria Math"/>
          </w:rPr>
          <m:t>det(</m:t>
        </m:r>
        <m:acc>
          <m:accPr>
            <m:chr m:val="⃗"/>
            <m:ctrlPr>
              <w:rPr>
                <w:rFonts w:ascii="Cambria Math" w:hAnsi="Cambria Math"/>
                <w:b/>
                <w:bCs/>
                <w:i/>
              </w:rPr>
            </m:ctrlPr>
          </m:accPr>
          <m:e>
            <m:r>
              <m:rPr>
                <m:sty m:val="bi"/>
              </m:rPr>
              <w:rPr>
                <w:rFonts w:ascii="Cambria Math" w:hAnsi="Cambria Math"/>
              </w:rPr>
              <m:t>AB</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AC</m:t>
            </m:r>
          </m:e>
        </m:acc>
        <m:r>
          <m:rPr>
            <m:sty m:val="bi"/>
          </m:rPr>
          <w:rPr>
            <w:rFonts w:ascii="Cambria Math" w:hAnsi="Cambria Math"/>
          </w:rPr>
          <m:t>) = det(</m:t>
        </m:r>
        <m:acc>
          <m:accPr>
            <m:chr m:val="⃗"/>
            <m:ctrlPr>
              <w:rPr>
                <w:rFonts w:ascii="Cambria Math" w:hAnsi="Cambria Math"/>
                <w:b/>
                <w:bCs/>
                <w:i/>
              </w:rPr>
            </m:ctrlPr>
          </m:accPr>
          <m:e>
            <m:r>
              <m:rPr>
                <m:sty m:val="bi"/>
              </m:rPr>
              <w:rPr>
                <w:rFonts w:ascii="Cambria Math" w:hAnsi="Cambria Math"/>
              </w:rPr>
              <m:t>BC</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BA</m:t>
            </m:r>
          </m:e>
        </m:acc>
        <m:r>
          <m:rPr>
            <m:sty m:val="bi"/>
          </m:rPr>
          <w:rPr>
            <w:rFonts w:ascii="Cambria Math" w:hAnsi="Cambria Math"/>
          </w:rPr>
          <m:t>) = det (</m:t>
        </m:r>
        <m:acc>
          <m:accPr>
            <m:chr m:val="⃗"/>
            <m:ctrlPr>
              <w:rPr>
                <w:rFonts w:ascii="Cambria Math" w:hAnsi="Cambria Math"/>
                <w:b/>
                <w:bCs/>
                <w:i/>
              </w:rPr>
            </m:ctrlPr>
          </m:accPr>
          <m:e>
            <m:r>
              <m:rPr>
                <m:sty m:val="bi"/>
              </m:rPr>
              <w:rPr>
                <w:rFonts w:ascii="Cambria Math" w:hAnsi="Cambria Math"/>
              </w:rPr>
              <m:t>CA</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CB</m:t>
            </m:r>
          </m:e>
        </m:acc>
        <m:r>
          <m:rPr>
            <m:sty m:val="bi"/>
          </m:rPr>
          <w:rPr>
            <w:rFonts w:ascii="Cambria Math" w:hAnsi="Cambria Math"/>
          </w:rPr>
          <m:t>) = 2</m:t>
        </m:r>
        <m:r>
          <m:rPr>
            <m:sty m:val="bi"/>
          </m:rPr>
          <w:rPr>
            <w:rFonts w:ascii="Cambria Math" w:hAnsi="Cambria Math"/>
          </w:rPr>
          <m:t>A</m:t>
        </m:r>
      </m:oMath>
    </w:p>
    <w:p w14:paraId="23AAF003" w14:textId="77777777" w:rsidR="002A55FA" w:rsidRDefault="002A55FA" w:rsidP="002A55FA">
      <w:pPr>
        <w:pStyle w:val="Paragraphedeliste"/>
        <w:rPr>
          <w:b/>
          <w:bCs/>
        </w:rPr>
      </w:pPr>
    </w:p>
    <w:p w14:paraId="6FC678E1" w14:textId="77777777" w:rsidR="002A55FA" w:rsidRDefault="002A55FA" w:rsidP="002A55FA">
      <w:pPr>
        <w:pStyle w:val="Paragraphedeliste"/>
        <w:numPr>
          <w:ilvl w:val="0"/>
          <w:numId w:val="5"/>
        </w:numPr>
        <w:rPr>
          <w:b/>
          <w:bCs/>
        </w:rPr>
      </w:pPr>
      <w:r>
        <w:rPr>
          <w:b/>
          <w:bCs/>
        </w:rPr>
        <w:t>En déduire la formule des sinus</w:t>
      </w:r>
    </w:p>
    <w:p w14:paraId="2C184F1E" w14:textId="77777777" w:rsidR="002A55FA" w:rsidRPr="008B3162" w:rsidRDefault="002A55FA" w:rsidP="002A55FA">
      <w:pPr>
        <w:pStyle w:val="Paragraphedeliste"/>
        <w:rPr>
          <w:b/>
          <w:bCs/>
        </w:rPr>
      </w:pPr>
    </w:p>
    <w:p w14:paraId="3BA003A5" w14:textId="77777777" w:rsidR="002A55FA" w:rsidRDefault="001B1CB3" w:rsidP="002A55FA">
      <w:pPr>
        <w:pStyle w:val="Paragraphedeliste"/>
        <w:rPr>
          <w:b/>
          <w:bCs/>
        </w:rPr>
      </w:pPr>
      <m:oMathPara>
        <m:oMath>
          <m:f>
            <m:fPr>
              <m:ctrlPr>
                <w:rPr>
                  <w:rFonts w:ascii="Cambria Math" w:hAnsi="Cambria Math"/>
                  <w:b/>
                  <w:bCs/>
                  <w:i/>
                </w:rPr>
              </m:ctrlPr>
            </m:fPr>
            <m:num>
              <m:r>
                <m:rPr>
                  <m:sty m:val="bi"/>
                </m:rPr>
                <w:rPr>
                  <w:rFonts w:ascii="Cambria Math" w:hAnsi="Cambria Math"/>
                </w:rPr>
                <m:t>a</m:t>
              </m:r>
            </m:num>
            <m:den>
              <m:r>
                <m:rPr>
                  <m:sty m:val="bi"/>
                </m:rPr>
                <w:rPr>
                  <w:rFonts w:ascii="Cambria Math" w:hAnsi="Cambria Math"/>
                </w:rPr>
                <m:t>sin A</m:t>
              </m:r>
            </m:den>
          </m:f>
          <m:r>
            <m:rPr>
              <m:sty m:val="bi"/>
            </m:rPr>
            <w:rPr>
              <w:rFonts w:ascii="Cambria Math" w:hAnsi="Cambria Math"/>
            </w:rPr>
            <m:t xml:space="preserve"> = </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sin B</m:t>
              </m:r>
            </m:den>
          </m:f>
          <m:r>
            <m:rPr>
              <m:sty m:val="bi"/>
            </m:rPr>
            <w:rPr>
              <w:rFonts w:ascii="Cambria Math" w:hAnsi="Cambria Math"/>
            </w:rPr>
            <m:t xml:space="preserve"> = </m:t>
          </m:r>
          <m:f>
            <m:fPr>
              <m:ctrlPr>
                <w:rPr>
                  <w:rFonts w:ascii="Cambria Math" w:hAnsi="Cambria Math"/>
                  <w:b/>
                  <w:bCs/>
                  <w:i/>
                </w:rPr>
              </m:ctrlPr>
            </m:fPr>
            <m:num>
              <m:r>
                <m:rPr>
                  <m:sty m:val="bi"/>
                </m:rPr>
                <w:rPr>
                  <w:rFonts w:ascii="Cambria Math" w:hAnsi="Cambria Math"/>
                </w:rPr>
                <m:t>c</m:t>
              </m:r>
            </m:num>
            <m:den>
              <m:r>
                <m:rPr>
                  <m:sty m:val="bi"/>
                </m:rPr>
                <w:rPr>
                  <w:rFonts w:ascii="Cambria Math" w:hAnsi="Cambria Math"/>
                </w:rPr>
                <m:t>sin C</m:t>
              </m:r>
            </m:den>
          </m:f>
          <m:r>
            <m:rPr>
              <m:sty m:val="bi"/>
            </m:rPr>
            <w:rPr>
              <w:rFonts w:ascii="Cambria Math" w:hAnsi="Cambria Math"/>
            </w:rPr>
            <m:t xml:space="preserve"> = </m:t>
          </m:r>
          <m:f>
            <m:fPr>
              <m:ctrlPr>
                <w:rPr>
                  <w:rFonts w:ascii="Cambria Math" w:hAnsi="Cambria Math"/>
                  <w:b/>
                  <w:bCs/>
                  <w:i/>
                </w:rPr>
              </m:ctrlPr>
            </m:fPr>
            <m:num>
              <m:r>
                <m:rPr>
                  <m:sty m:val="bi"/>
                </m:rPr>
                <w:rPr>
                  <w:rFonts w:ascii="Cambria Math" w:hAnsi="Cambria Math"/>
                </w:rPr>
                <m:t>abc</m:t>
              </m:r>
            </m:num>
            <m:den>
              <m:r>
                <m:rPr>
                  <m:sty m:val="bi"/>
                </m:rPr>
                <w:rPr>
                  <w:rFonts w:ascii="Cambria Math" w:hAnsi="Cambria Math"/>
                </w:rPr>
                <m:t>2</m:t>
              </m:r>
              <m:r>
                <m:rPr>
                  <m:sty m:val="bi"/>
                </m:rPr>
                <w:rPr>
                  <w:rFonts w:ascii="Cambria Math" w:hAnsi="Cambria Math"/>
                </w:rPr>
                <m:t>A</m:t>
              </m:r>
            </m:den>
          </m:f>
          <m:r>
            <m:rPr>
              <m:sty m:val="bi"/>
            </m:rPr>
            <w:rPr>
              <w:rFonts w:ascii="Cambria Math" w:hAnsi="Cambria Math"/>
            </w:rPr>
            <m:t xml:space="preserve"> </m:t>
          </m:r>
        </m:oMath>
      </m:oMathPara>
    </w:p>
    <w:p w14:paraId="04B8B14E" w14:textId="77777777" w:rsidR="002A55FA" w:rsidRPr="008B3162" w:rsidRDefault="002A55FA" w:rsidP="002A55FA">
      <w:pPr>
        <w:pStyle w:val="Paragraphedeliste"/>
        <w:rPr>
          <w:b/>
          <w:bCs/>
        </w:rPr>
      </w:pPr>
    </w:p>
    <w:p w14:paraId="3C76A114" w14:textId="77777777" w:rsidR="002A55FA" w:rsidRDefault="002A55FA" w:rsidP="002A55FA">
      <w:pPr>
        <w:pStyle w:val="Paragraphedeliste"/>
        <w:numPr>
          <w:ilvl w:val="0"/>
          <w:numId w:val="5"/>
        </w:numPr>
        <w:rPr>
          <w:b/>
          <w:bCs/>
        </w:rPr>
      </w:pPr>
      <w:r>
        <w:rPr>
          <w:b/>
          <w:bCs/>
        </w:rPr>
        <w:t>Prouver la formule d’Al Kashi</w:t>
      </w:r>
    </w:p>
    <w:p w14:paraId="2E0E4865" w14:textId="77777777" w:rsidR="002A55FA" w:rsidRDefault="002A55FA" w:rsidP="002A55FA">
      <w:pPr>
        <w:pStyle w:val="Paragraphedeliste"/>
        <w:ind w:left="1080"/>
        <w:jc w:val="center"/>
        <w:rPr>
          <w:b/>
          <w:bCs/>
        </w:rPr>
      </w:pPr>
      <m:oMathPara>
        <m:oMath>
          <m:r>
            <m:rPr>
              <m:sty m:val="bi"/>
            </m:rPr>
            <w:rPr>
              <w:rFonts w:ascii="Cambria Math" w:hAnsi="Cambria Math"/>
            </w:rPr>
            <m:t>a²=b²+c² - 2</m:t>
          </m:r>
          <m:r>
            <m:rPr>
              <m:sty m:val="bi"/>
            </m:rPr>
            <w:rPr>
              <w:rFonts w:ascii="Cambria Math" w:hAnsi="Cambria Math"/>
            </w:rPr>
            <m:t>bc cos(A)</m:t>
          </m:r>
        </m:oMath>
      </m:oMathPara>
    </w:p>
    <w:p w14:paraId="74FC1325" w14:textId="77777777" w:rsidR="002A55FA" w:rsidRDefault="002A55FA" w:rsidP="002A55FA">
      <w:pPr>
        <w:rPr>
          <w:b/>
          <w:bCs/>
        </w:rPr>
      </w:pPr>
    </w:p>
    <w:p w14:paraId="05776516" w14:textId="77777777" w:rsidR="002A55FA" w:rsidRDefault="002A55FA" w:rsidP="002A55FA">
      <w:pPr>
        <w:pStyle w:val="Paragraphedeliste"/>
        <w:numPr>
          <w:ilvl w:val="0"/>
          <w:numId w:val="5"/>
        </w:numPr>
        <w:rPr>
          <w:b/>
          <w:bCs/>
        </w:rPr>
      </w:pPr>
      <w:r>
        <w:rPr>
          <w:b/>
          <w:bCs/>
        </w:rPr>
        <w:t>A partir des formules précédentes, prouver la formule de Héron :</w:t>
      </w:r>
    </w:p>
    <w:p w14:paraId="1A9942F5" w14:textId="1F01AB63" w:rsidR="002A55FA" w:rsidRDefault="002A55FA" w:rsidP="002A55FA">
      <w:pPr>
        <w:pStyle w:val="Paragraphedeliste"/>
        <w:jc w:val="center"/>
        <w:rPr>
          <w:b/>
          <w:bCs/>
        </w:rPr>
      </w:pPr>
      <m:oMathPara>
        <m:oMath>
          <m:r>
            <m:rPr>
              <m:sty m:val="bi"/>
            </m:rPr>
            <w:rPr>
              <w:rFonts w:ascii="Cambria Math" w:hAnsi="Cambria Math"/>
            </w:rPr>
            <m:t xml:space="preserve">A = </m:t>
          </m:r>
          <m:rad>
            <m:radPr>
              <m:degHide m:val="1"/>
              <m:ctrlPr>
                <w:rPr>
                  <w:rFonts w:ascii="Cambria Math" w:hAnsi="Cambria Math"/>
                  <w:b/>
                  <w:bCs/>
                  <w:i/>
                </w:rPr>
              </m:ctrlPr>
            </m:radPr>
            <m:deg/>
            <m:e>
              <m:r>
                <m:rPr>
                  <m:sty m:val="bi"/>
                </m:rPr>
                <w:rPr>
                  <w:rFonts w:ascii="Cambria Math" w:hAnsi="Cambria Math"/>
                </w:rPr>
                <m:t>p(p-a)(p-b)(p-c)</m:t>
              </m:r>
            </m:e>
          </m:rad>
        </m:oMath>
      </m:oMathPara>
    </w:p>
    <w:p w14:paraId="04AA7FE8" w14:textId="77777777" w:rsidR="002A55FA" w:rsidRPr="008B3162" w:rsidRDefault="002A55FA" w:rsidP="002A55FA">
      <w:pPr>
        <w:rPr>
          <w:b/>
          <w:bCs/>
        </w:rPr>
      </w:pPr>
      <w:r>
        <w:rPr>
          <w:b/>
          <w:bCs/>
        </w:rPr>
        <w:t>Questions d’oral :</w:t>
      </w:r>
    </w:p>
    <w:p w14:paraId="1BF9A506" w14:textId="77777777" w:rsidR="002A55FA" w:rsidRDefault="002A55FA" w:rsidP="002A55FA">
      <w:pPr>
        <w:pStyle w:val="Paragraphedeliste"/>
        <w:numPr>
          <w:ilvl w:val="0"/>
          <w:numId w:val="2"/>
        </w:numPr>
      </w:pPr>
      <w:r>
        <w:t xml:space="preserve">Quelle est la différence entre le déterminant et le produit vectoriel ? </w:t>
      </w:r>
    </w:p>
    <w:p w14:paraId="533CA46E" w14:textId="77777777" w:rsidR="002A55FA" w:rsidRDefault="002A55FA" w:rsidP="002A55FA">
      <w:pPr>
        <w:pStyle w:val="Paragraphedeliste"/>
        <w:numPr>
          <w:ilvl w:val="0"/>
          <w:numId w:val="2"/>
        </w:numPr>
      </w:pPr>
      <w:r>
        <w:t>Donner des applications mathématiques au produit scalaire</w:t>
      </w:r>
    </w:p>
    <w:p w14:paraId="746D6252" w14:textId="4BD3FF9B" w:rsidR="00F65B54" w:rsidRDefault="002A55FA" w:rsidP="002A55FA">
      <w:pPr>
        <w:pStyle w:val="Paragraphedeliste"/>
        <w:numPr>
          <w:ilvl w:val="0"/>
          <w:numId w:val="2"/>
        </w:numPr>
      </w:pPr>
      <w:r>
        <w:t>Prouver Pythagore à partir du théorème d’</w:t>
      </w:r>
      <w:proofErr w:type="spellStart"/>
      <w:r>
        <w:t>Al-Kashi</w:t>
      </w:r>
      <w:proofErr w:type="spellEnd"/>
      <w:r>
        <w:t xml:space="preserve"> </w:t>
      </w:r>
    </w:p>
    <w:p w14:paraId="6988B460" w14:textId="77777777" w:rsidR="002A55FA" w:rsidRDefault="002A55FA" w:rsidP="002A55FA">
      <w:pPr>
        <w:jc w:val="center"/>
        <w:rPr>
          <w:b/>
          <w:bCs/>
        </w:rPr>
      </w:pPr>
    </w:p>
    <w:p w14:paraId="174A9A55" w14:textId="77777777" w:rsidR="002A55FA" w:rsidRDefault="002A55FA" w:rsidP="002A55FA">
      <w:pPr>
        <w:jc w:val="center"/>
        <w:rPr>
          <w:b/>
          <w:bCs/>
        </w:rPr>
      </w:pPr>
    </w:p>
    <w:p w14:paraId="1C9D45A6" w14:textId="3C7CB578" w:rsidR="002A55FA" w:rsidRDefault="002A55FA" w:rsidP="002A55FA">
      <w:pPr>
        <w:jc w:val="center"/>
        <w:rPr>
          <w:b/>
          <w:bCs/>
        </w:rPr>
      </w:pPr>
      <w:r w:rsidRPr="002A55FA">
        <w:rPr>
          <w:b/>
          <w:bCs/>
        </w:rPr>
        <w:t>Bibliographie</w:t>
      </w:r>
    </w:p>
    <w:p w14:paraId="1DA734F2" w14:textId="75E08AF8" w:rsidR="002A55FA" w:rsidRDefault="002A55FA" w:rsidP="002A55FA">
      <w:r>
        <w:t xml:space="preserve">CLAIRAUT Alexis, </w:t>
      </w:r>
      <w:proofErr w:type="spellStart"/>
      <w:r>
        <w:rPr>
          <w:i/>
          <w:iCs/>
        </w:rPr>
        <w:t>Elémens</w:t>
      </w:r>
      <w:proofErr w:type="spellEnd"/>
      <w:r>
        <w:rPr>
          <w:i/>
          <w:iCs/>
        </w:rPr>
        <w:t xml:space="preserve"> de </w:t>
      </w:r>
      <w:proofErr w:type="spellStart"/>
      <w:r>
        <w:rPr>
          <w:i/>
          <w:iCs/>
        </w:rPr>
        <w:t>Géometrie</w:t>
      </w:r>
      <w:proofErr w:type="spellEnd"/>
      <w:r>
        <w:rPr>
          <w:i/>
          <w:iCs/>
        </w:rPr>
        <w:t xml:space="preserve">, </w:t>
      </w:r>
      <w:r>
        <w:t>Durand Librairie, 1753</w:t>
      </w:r>
    </w:p>
    <w:p w14:paraId="4240543D" w14:textId="201E858C" w:rsidR="002A55FA" w:rsidRDefault="002A55FA" w:rsidP="002A55FA">
      <w:r>
        <w:t xml:space="preserve">CHEVALLARD Yves, </w:t>
      </w:r>
      <w:r w:rsidRPr="002A55FA">
        <w:rPr>
          <w:i/>
          <w:iCs/>
        </w:rPr>
        <w:t>Analyse des</w:t>
      </w:r>
      <w:r>
        <w:rPr>
          <w:i/>
          <w:iCs/>
        </w:rPr>
        <w:t xml:space="preserve"> pratiques enseignantes et didactique des mathématiques : L’approche anthropologique</w:t>
      </w:r>
      <w:r>
        <w:t>, IUFM Aix Marseille, 1998</w:t>
      </w:r>
    </w:p>
    <w:p w14:paraId="4DF61D75" w14:textId="776F5602" w:rsidR="000155DD" w:rsidRPr="000155DD" w:rsidRDefault="000155DD" w:rsidP="002A55FA">
      <w:r>
        <w:t xml:space="preserve">MAZEROLLE Louis, </w:t>
      </w:r>
      <w:r>
        <w:rPr>
          <w:i/>
          <w:iCs/>
        </w:rPr>
        <w:t>Traité théorique et pratique de charpente</w:t>
      </w:r>
      <w:r>
        <w:t>, Vial, 1875</w:t>
      </w:r>
    </w:p>
    <w:p w14:paraId="470FFB6F" w14:textId="551E5F95" w:rsidR="002A55FA" w:rsidRPr="002A55FA" w:rsidRDefault="002A55FA" w:rsidP="002A55FA">
      <w:r>
        <w:t xml:space="preserve">Feuille d’exercice issue de : </w:t>
      </w:r>
      <w:hyperlink r:id="rId15" w:history="1">
        <w:r w:rsidRPr="002A55FA">
          <w:rPr>
            <w:rStyle w:val="Lienhypertexte"/>
            <w:i/>
            <w:iCs/>
          </w:rPr>
          <w:t>http://prof.math.free.fr/afficher.php?id=99</w:t>
        </w:r>
      </w:hyperlink>
    </w:p>
    <w:sectPr w:rsidR="002A55FA" w:rsidRPr="002A55FA" w:rsidSect="002A55FA">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topia-Regular">
    <w:altName w:val="Calibri"/>
    <w:panose1 w:val="00000000000000000000"/>
    <w:charset w:val="00"/>
    <w:family w:val="auto"/>
    <w:notTrueType/>
    <w:pitch w:val="default"/>
    <w:sig w:usb0="00000003" w:usb1="00000000" w:usb2="00000000" w:usb3="00000000" w:csb0="00000001" w:csb1="00000000"/>
  </w:font>
  <w:font w:name="Utopia-Bold">
    <w:altName w:val="Calibri"/>
    <w:panose1 w:val="00000000000000000000"/>
    <w:charset w:val="00"/>
    <w:family w:val="auto"/>
    <w:notTrueType/>
    <w:pitch w:val="default"/>
    <w:sig w:usb0="00000003" w:usb1="00000000" w:usb2="00000000" w:usb3="00000000" w:csb0="00000001" w:csb1="00000000"/>
  </w:font>
  <w:font w:name="Utopia-Italic">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Fourier-Math-Symbols">
    <w:altName w:val="Calibri"/>
    <w:panose1 w:val="00000000000000000000"/>
    <w:charset w:val="00"/>
    <w:family w:val="auto"/>
    <w:notTrueType/>
    <w:pitch w:val="default"/>
    <w:sig w:usb0="00000003" w:usb1="00000000" w:usb2="00000000" w:usb3="00000000" w:csb0="00000001" w:csb1="00000000"/>
  </w:font>
  <w:font w:name="Fourier-Math-Letters-Italic">
    <w:altName w:val="Calibri"/>
    <w:panose1 w:val="00000000000000000000"/>
    <w:charset w:val="00"/>
    <w:family w:val="auto"/>
    <w:notTrueType/>
    <w:pitch w:val="default"/>
    <w:sig w:usb0="00000003" w:usb1="00000000" w:usb2="00000000" w:usb3="00000000" w:csb0="00000001" w:csb1="00000000"/>
  </w:font>
  <w:font w:name="Quicksand">
    <w:panose1 w:val="00000000000000000000"/>
    <w:charset w:val="00"/>
    <w:family w:val="auto"/>
    <w:pitch w:val="variable"/>
    <w:sig w:usb0="A00000FF" w:usb1="4000205B" w:usb2="00000000" w:usb3="00000000" w:csb0="00000193" w:csb1="00000000"/>
  </w:font>
  <w:font w:name="Noto Sans JP">
    <w:panose1 w:val="020B0500000000000000"/>
    <w:charset w:val="80"/>
    <w:family w:val="swiss"/>
    <w:notTrueType/>
    <w:pitch w:val="variable"/>
    <w:sig w:usb0="20000287" w:usb1="2ADF3C10" w:usb2="00000016" w:usb3="00000000" w:csb0="0006010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E1CBF"/>
    <w:multiLevelType w:val="hybridMultilevel"/>
    <w:tmpl w:val="CAC0B554"/>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E8365DD"/>
    <w:multiLevelType w:val="hybridMultilevel"/>
    <w:tmpl w:val="8AD23C96"/>
    <w:lvl w:ilvl="0" w:tplc="DC8A52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2B075C"/>
    <w:multiLevelType w:val="hybridMultilevel"/>
    <w:tmpl w:val="15E8D232"/>
    <w:lvl w:ilvl="0" w:tplc="36ACC06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150502"/>
    <w:multiLevelType w:val="hybridMultilevel"/>
    <w:tmpl w:val="78361CC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9C04437"/>
    <w:multiLevelType w:val="hybridMultilevel"/>
    <w:tmpl w:val="5664BAB6"/>
    <w:lvl w:ilvl="0" w:tplc="C2F486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A353A3"/>
    <w:multiLevelType w:val="hybridMultilevel"/>
    <w:tmpl w:val="7CF69056"/>
    <w:lvl w:ilvl="0" w:tplc="AA82EC2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F811056"/>
    <w:multiLevelType w:val="hybridMultilevel"/>
    <w:tmpl w:val="5B6C9A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9B10713"/>
    <w:multiLevelType w:val="hybridMultilevel"/>
    <w:tmpl w:val="DA6C124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C505A38"/>
    <w:multiLevelType w:val="hybridMultilevel"/>
    <w:tmpl w:val="B268C33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DB14205"/>
    <w:multiLevelType w:val="hybridMultilevel"/>
    <w:tmpl w:val="E25EDB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8"/>
  </w:num>
  <w:num w:numId="4">
    <w:abstractNumId w:val="0"/>
  </w:num>
  <w:num w:numId="5">
    <w:abstractNumId w:val="5"/>
  </w:num>
  <w:num w:numId="6">
    <w:abstractNumId w:val="6"/>
  </w:num>
  <w:num w:numId="7">
    <w:abstractNumId w:val="7"/>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A"/>
    <w:rsid w:val="000155DD"/>
    <w:rsid w:val="001B1CB3"/>
    <w:rsid w:val="002A55FA"/>
    <w:rsid w:val="00DB760E"/>
    <w:rsid w:val="00F65B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648E"/>
  <w15:chartTrackingRefBased/>
  <w15:docId w15:val="{92896AE8-14B2-4A90-91EB-460D86AA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5F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A5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A55FA"/>
    <w:pPr>
      <w:ind w:left="720"/>
      <w:contextualSpacing/>
    </w:pPr>
  </w:style>
  <w:style w:type="paragraph" w:styleId="Lgende">
    <w:name w:val="caption"/>
    <w:basedOn w:val="Normal"/>
    <w:next w:val="Normal"/>
    <w:uiPriority w:val="35"/>
    <w:unhideWhenUsed/>
    <w:qFormat/>
    <w:rsid w:val="002A55FA"/>
    <w:pPr>
      <w:spacing w:after="200" w:line="240" w:lineRule="auto"/>
    </w:pPr>
    <w:rPr>
      <w:i/>
      <w:iCs/>
      <w:color w:val="44546A" w:themeColor="text2"/>
      <w:sz w:val="18"/>
      <w:szCs w:val="18"/>
    </w:rPr>
  </w:style>
  <w:style w:type="character" w:styleId="Lienhypertexte">
    <w:name w:val="Hyperlink"/>
    <w:basedOn w:val="Policepardfaut"/>
    <w:uiPriority w:val="99"/>
    <w:unhideWhenUsed/>
    <w:rsid w:val="002A55FA"/>
    <w:rPr>
      <w:color w:val="0563C1" w:themeColor="hyperlink"/>
      <w:u w:val="single"/>
    </w:rPr>
  </w:style>
  <w:style w:type="character" w:styleId="Mentionnonrsolue">
    <w:name w:val="Unresolved Mention"/>
    <w:basedOn w:val="Policepardfaut"/>
    <w:uiPriority w:val="99"/>
    <w:semiHidden/>
    <w:unhideWhenUsed/>
    <w:rsid w:val="002A55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prof.math.free.fr/afficher.php?id=99"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1153</Words>
  <Characters>6343</Characters>
  <Application>Microsoft Office Word</Application>
  <DocSecurity>0</DocSecurity>
  <Lines>52</Lines>
  <Paragraphs>14</Paragraphs>
  <ScaleCrop>false</ScaleCrop>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Lagon</dc:creator>
  <cp:keywords/>
  <dc:description/>
  <cp:lastModifiedBy>Louis Lagon</cp:lastModifiedBy>
  <cp:revision>4</cp:revision>
  <dcterms:created xsi:type="dcterms:W3CDTF">2021-11-14T17:00:00Z</dcterms:created>
  <dcterms:modified xsi:type="dcterms:W3CDTF">2021-12-21T14:55:00Z</dcterms:modified>
</cp:coreProperties>
</file>