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300861"/>
        <w:docPartObj>
          <w:docPartGallery w:val="Cover Pages"/>
          <w:docPartUnique/>
        </w:docPartObj>
      </w:sdtPr>
      <w:sdtContent>
        <w:p w:rsidR="00992EC3" w:rsidRDefault="00AA670E">
          <w:r w:rsidRPr="00AA670E">
            <w:drawing>
              <wp:inline distT="0" distB="0" distL="0" distR="0" wp14:anchorId="17494CBE" wp14:editId="7211E378">
                <wp:extent cx="1028700" cy="10287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8700" cy="1028700"/>
                        </a:xfrm>
                        <a:prstGeom prst="rect">
                          <a:avLst/>
                        </a:prstGeom>
                      </pic:spPr>
                    </pic:pic>
                  </a:graphicData>
                </a:graphic>
              </wp:inline>
            </w:drawing>
          </w:r>
          <w:r w:rsidR="00992EC3">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92EC3" w:rsidRDefault="00992EC3">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ABICHOU Wifak</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" filled="f" stroked="f" strokeweight=".5pt">
                    <v:textbox style="mso-fit-shape-to-text:t">
                      <w:txbxContent>
                        <w:p w:rsidR="00992EC3" w:rsidRDefault="00992EC3">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ABICHOU Wifak</w:t>
                              </w:r>
                            </w:sdtContent>
                          </w:sdt>
                        </w:p>
                      </w:txbxContent>
                    </v:textbox>
                    <w10:wrap type="square" anchorx="page" anchory="page"/>
                  </v:shape>
                </w:pict>
              </mc:Fallback>
            </mc:AlternateContent>
          </w:r>
          <w:r w:rsidR="00992EC3">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92EC3" w:rsidRDefault="00992EC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992EC3" w:rsidRDefault="00992EC3"/>
                      </w:txbxContent>
                    </v:textbox>
                    <w10:wrap anchorx="page" anchory="page"/>
                  </v:rect>
                </w:pict>
              </mc:Fallback>
            </mc:AlternateContent>
          </w:r>
          <w:r w:rsidR="00992EC3">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2EC3" w:rsidRDefault="00992EC3">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AA670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" fillcolor="#44546a [3215]" stroked="f" strokeweight="1pt">
                    <v:textbox inset="14.4pt,14.4pt,14.4pt,28.8pt">
                      <w:txbxContent>
                        <w:p w:rsidR="00992EC3" w:rsidRDefault="00992EC3">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AA670E">
                                <w:rPr>
                                  <w:color w:val="FFFFFF" w:themeColor="background1"/>
                                </w:rPr>
                                <w:t xml:space="preserve">     </w:t>
                              </w:r>
                            </w:sdtContent>
                          </w:sdt>
                        </w:p>
                      </w:txbxContent>
                    </v:textbox>
                    <w10:wrap anchorx="page" anchory="page"/>
                  </v:rect>
                </w:pict>
              </mc:Fallback>
            </mc:AlternateContent>
          </w:r>
          <w:r w:rsidR="00992EC3">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0F277F6"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00992EC3">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5D3EEB0"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00992EC3">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992EC3" w:rsidRDefault="00AA670E">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LANDAUER</w:t>
                                    </w:r>
                                  </w:p>
                                </w:sdtContent>
                              </w:sdt>
                              <w:p w:rsidR="00992EC3" w:rsidRDefault="00AA670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Rapport professionnel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992EC3" w:rsidRDefault="00AA670E">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LANDAUER</w:t>
                              </w:r>
                            </w:p>
                          </w:sdtContent>
                        </w:sdt>
                        <w:p w:rsidR="00992EC3" w:rsidRDefault="00AA670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Rapport professionnel </w:t>
                          </w:r>
                        </w:p>
                      </w:txbxContent>
                    </v:textbox>
                    <w10:wrap type="square" anchorx="page" anchory="page"/>
                  </v:shape>
                </w:pict>
              </mc:Fallback>
            </mc:AlternateContent>
          </w:r>
        </w:p>
        <w:p w:rsidR="00992EC3" w:rsidRDefault="00992EC3">
          <w:r>
            <w:br w:type="page"/>
          </w:r>
        </w:p>
      </w:sdtContent>
    </w:sdt>
    <w:sdt>
      <w:sdtPr>
        <w:id w:val="191881782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06CC1" w:rsidRDefault="00D06CC1">
          <w:pPr>
            <w:pStyle w:val="En-ttedetabledesmatires"/>
          </w:pPr>
          <w:r>
            <w:t>Table des matières</w:t>
          </w:r>
        </w:p>
        <w:p w:rsidR="00D06CC1" w:rsidRDefault="00D06CC1" w:rsidP="00D06CC1">
          <w:pPr>
            <w:rPr>
              <w:lang w:eastAsia="fr-FR"/>
            </w:rPr>
          </w:pPr>
        </w:p>
        <w:p w:rsidR="00D06CC1" w:rsidRDefault="00D06CC1" w:rsidP="00D06CC1">
          <w:pPr>
            <w:rPr>
              <w:lang w:eastAsia="fr-FR"/>
            </w:rPr>
          </w:pPr>
        </w:p>
        <w:p w:rsidR="00D06CC1" w:rsidRDefault="00D06CC1" w:rsidP="00D06CC1">
          <w:pPr>
            <w:rPr>
              <w:lang w:eastAsia="fr-FR"/>
            </w:rPr>
          </w:pPr>
        </w:p>
        <w:p w:rsidR="00D06CC1" w:rsidRPr="00D06CC1" w:rsidRDefault="00D06CC1" w:rsidP="00D06CC1">
          <w:pPr>
            <w:rPr>
              <w:lang w:eastAsia="fr-FR"/>
            </w:rPr>
          </w:pPr>
        </w:p>
        <w:p w:rsidR="00D06CC1" w:rsidRDefault="00D06CC1">
          <w:pPr>
            <w:pStyle w:val="TM1"/>
            <w:tabs>
              <w:tab w:val="right" w:leader="dot" w:pos="9062"/>
            </w:tabs>
            <w:rPr>
              <w:rStyle w:val="Lienhypertexte"/>
              <w:noProof/>
            </w:rPr>
          </w:pPr>
          <w:r>
            <w:fldChar w:fldCharType="begin"/>
          </w:r>
          <w:r>
            <w:instrText xml:space="preserve"> TOC \o "1-3" \h \z \u </w:instrText>
          </w:r>
          <w:r>
            <w:fldChar w:fldCharType="separate"/>
          </w:r>
          <w:hyperlink w:anchor="_Toc90543151" w:history="1">
            <w:r w:rsidRPr="000450D7">
              <w:rPr>
                <w:rStyle w:val="Lienhypertexte"/>
                <w:noProof/>
              </w:rPr>
              <w:t>Introduction</w:t>
            </w:r>
            <w:r>
              <w:rPr>
                <w:noProof/>
                <w:webHidden/>
              </w:rPr>
              <w:tab/>
            </w:r>
            <w:r>
              <w:rPr>
                <w:noProof/>
                <w:webHidden/>
              </w:rPr>
              <w:fldChar w:fldCharType="begin"/>
            </w:r>
            <w:r>
              <w:rPr>
                <w:noProof/>
                <w:webHidden/>
              </w:rPr>
              <w:instrText xml:space="preserve"> PAGEREF _Toc90543151 \h </w:instrText>
            </w:r>
            <w:r>
              <w:rPr>
                <w:noProof/>
                <w:webHidden/>
              </w:rPr>
            </w:r>
            <w:r>
              <w:rPr>
                <w:noProof/>
                <w:webHidden/>
              </w:rPr>
              <w:fldChar w:fldCharType="separate"/>
            </w:r>
            <w:r>
              <w:rPr>
                <w:noProof/>
                <w:webHidden/>
              </w:rPr>
              <w:t>2</w:t>
            </w:r>
            <w:r>
              <w:rPr>
                <w:noProof/>
                <w:webHidden/>
              </w:rPr>
              <w:fldChar w:fldCharType="end"/>
            </w:r>
          </w:hyperlink>
        </w:p>
        <w:p w:rsidR="00D06CC1" w:rsidRDefault="00D06CC1" w:rsidP="00D06CC1"/>
        <w:p w:rsidR="00D06CC1" w:rsidRPr="00D06CC1" w:rsidRDefault="00D06CC1" w:rsidP="00D06CC1"/>
        <w:p w:rsidR="00D06CC1" w:rsidRDefault="00D06CC1">
          <w:pPr>
            <w:pStyle w:val="TM1"/>
            <w:tabs>
              <w:tab w:val="right" w:leader="dot" w:pos="9062"/>
            </w:tabs>
            <w:rPr>
              <w:rStyle w:val="Lienhypertexte"/>
              <w:noProof/>
            </w:rPr>
          </w:pPr>
          <w:hyperlink w:anchor="_Toc90543152" w:history="1">
            <w:r w:rsidRPr="000450D7">
              <w:rPr>
                <w:rStyle w:val="Lienhypertexte"/>
                <w:noProof/>
              </w:rPr>
              <w:t>Présentation de l’entreprise</w:t>
            </w:r>
            <w:r>
              <w:rPr>
                <w:noProof/>
                <w:webHidden/>
              </w:rPr>
              <w:tab/>
            </w:r>
            <w:r>
              <w:rPr>
                <w:noProof/>
                <w:webHidden/>
              </w:rPr>
              <w:fldChar w:fldCharType="begin"/>
            </w:r>
            <w:r>
              <w:rPr>
                <w:noProof/>
                <w:webHidden/>
              </w:rPr>
              <w:instrText xml:space="preserve"> PAGEREF _Toc90543152 \h </w:instrText>
            </w:r>
            <w:r>
              <w:rPr>
                <w:noProof/>
                <w:webHidden/>
              </w:rPr>
            </w:r>
            <w:r>
              <w:rPr>
                <w:noProof/>
                <w:webHidden/>
              </w:rPr>
              <w:fldChar w:fldCharType="separate"/>
            </w:r>
            <w:r>
              <w:rPr>
                <w:noProof/>
                <w:webHidden/>
              </w:rPr>
              <w:t>3</w:t>
            </w:r>
            <w:r>
              <w:rPr>
                <w:noProof/>
                <w:webHidden/>
              </w:rPr>
              <w:fldChar w:fldCharType="end"/>
            </w:r>
          </w:hyperlink>
        </w:p>
        <w:p w:rsidR="00D06CC1" w:rsidRPr="00D06CC1" w:rsidRDefault="00D06CC1" w:rsidP="00D06CC1"/>
        <w:p w:rsidR="00D06CC1" w:rsidRDefault="00D06CC1">
          <w:pPr>
            <w:pStyle w:val="TM2"/>
            <w:tabs>
              <w:tab w:val="right" w:leader="dot" w:pos="9062"/>
            </w:tabs>
            <w:rPr>
              <w:rStyle w:val="Lienhypertexte"/>
              <w:noProof/>
            </w:rPr>
          </w:pPr>
          <w:hyperlink w:anchor="_Toc90543153" w:history="1">
            <w:r w:rsidRPr="000450D7">
              <w:rPr>
                <w:rStyle w:val="Lienhypertexte"/>
                <w:noProof/>
              </w:rPr>
              <w:t>Identité</w:t>
            </w:r>
            <w:r>
              <w:rPr>
                <w:noProof/>
                <w:webHidden/>
              </w:rPr>
              <w:tab/>
            </w:r>
            <w:r>
              <w:rPr>
                <w:noProof/>
                <w:webHidden/>
              </w:rPr>
              <w:fldChar w:fldCharType="begin"/>
            </w:r>
            <w:r>
              <w:rPr>
                <w:noProof/>
                <w:webHidden/>
              </w:rPr>
              <w:instrText xml:space="preserve"> PAGEREF _Toc90543153 \h </w:instrText>
            </w:r>
            <w:r>
              <w:rPr>
                <w:noProof/>
                <w:webHidden/>
              </w:rPr>
            </w:r>
            <w:r>
              <w:rPr>
                <w:noProof/>
                <w:webHidden/>
              </w:rPr>
              <w:fldChar w:fldCharType="separate"/>
            </w:r>
            <w:r>
              <w:rPr>
                <w:noProof/>
                <w:webHidden/>
              </w:rPr>
              <w:t>3</w:t>
            </w:r>
            <w:r>
              <w:rPr>
                <w:noProof/>
                <w:webHidden/>
              </w:rPr>
              <w:fldChar w:fldCharType="end"/>
            </w:r>
          </w:hyperlink>
        </w:p>
        <w:p w:rsidR="00D06CC1" w:rsidRPr="00D06CC1" w:rsidRDefault="00D06CC1" w:rsidP="00D06CC1"/>
        <w:p w:rsidR="00D06CC1" w:rsidRDefault="00D06CC1">
          <w:pPr>
            <w:pStyle w:val="TM2"/>
            <w:tabs>
              <w:tab w:val="right" w:leader="dot" w:pos="9062"/>
            </w:tabs>
            <w:rPr>
              <w:rStyle w:val="Lienhypertexte"/>
              <w:noProof/>
            </w:rPr>
          </w:pPr>
          <w:hyperlink w:anchor="_Toc90543154" w:history="1">
            <w:r w:rsidRPr="000450D7">
              <w:rPr>
                <w:rStyle w:val="Lienhypertexte"/>
                <w:noProof/>
              </w:rPr>
              <w:t>Chiffre clé</w:t>
            </w:r>
            <w:r>
              <w:rPr>
                <w:noProof/>
                <w:webHidden/>
              </w:rPr>
              <w:tab/>
            </w:r>
            <w:r>
              <w:rPr>
                <w:noProof/>
                <w:webHidden/>
              </w:rPr>
              <w:fldChar w:fldCharType="begin"/>
            </w:r>
            <w:r>
              <w:rPr>
                <w:noProof/>
                <w:webHidden/>
              </w:rPr>
              <w:instrText xml:space="preserve"> PAGEREF _Toc90543154 \h </w:instrText>
            </w:r>
            <w:r>
              <w:rPr>
                <w:noProof/>
                <w:webHidden/>
              </w:rPr>
            </w:r>
            <w:r>
              <w:rPr>
                <w:noProof/>
                <w:webHidden/>
              </w:rPr>
              <w:fldChar w:fldCharType="separate"/>
            </w:r>
            <w:r>
              <w:rPr>
                <w:noProof/>
                <w:webHidden/>
              </w:rPr>
              <w:t>3</w:t>
            </w:r>
            <w:r>
              <w:rPr>
                <w:noProof/>
                <w:webHidden/>
              </w:rPr>
              <w:fldChar w:fldCharType="end"/>
            </w:r>
          </w:hyperlink>
        </w:p>
        <w:p w:rsidR="00D06CC1" w:rsidRPr="00D06CC1" w:rsidRDefault="00D06CC1" w:rsidP="00D06CC1"/>
        <w:p w:rsidR="00D06CC1" w:rsidRDefault="00D06CC1">
          <w:pPr>
            <w:pStyle w:val="TM2"/>
            <w:tabs>
              <w:tab w:val="right" w:leader="dot" w:pos="9062"/>
            </w:tabs>
            <w:rPr>
              <w:rStyle w:val="Lienhypertexte"/>
              <w:noProof/>
            </w:rPr>
          </w:pPr>
          <w:hyperlink w:anchor="_Toc90543156" w:history="1">
            <w:r w:rsidRPr="000450D7">
              <w:rPr>
                <w:rStyle w:val="Lienhypertexte"/>
                <w:noProof/>
              </w:rPr>
              <w:t>Organigramme</w:t>
            </w:r>
            <w:r>
              <w:rPr>
                <w:noProof/>
                <w:webHidden/>
              </w:rPr>
              <w:tab/>
            </w:r>
            <w:r>
              <w:rPr>
                <w:noProof/>
                <w:webHidden/>
              </w:rPr>
              <w:fldChar w:fldCharType="begin"/>
            </w:r>
            <w:r>
              <w:rPr>
                <w:noProof/>
                <w:webHidden/>
              </w:rPr>
              <w:instrText xml:space="preserve"> PAGEREF _Toc90543156 \h </w:instrText>
            </w:r>
            <w:r>
              <w:rPr>
                <w:noProof/>
                <w:webHidden/>
              </w:rPr>
            </w:r>
            <w:r>
              <w:rPr>
                <w:noProof/>
                <w:webHidden/>
              </w:rPr>
              <w:fldChar w:fldCharType="separate"/>
            </w:r>
            <w:r>
              <w:rPr>
                <w:noProof/>
                <w:webHidden/>
              </w:rPr>
              <w:t>3</w:t>
            </w:r>
            <w:r>
              <w:rPr>
                <w:noProof/>
                <w:webHidden/>
              </w:rPr>
              <w:fldChar w:fldCharType="end"/>
            </w:r>
          </w:hyperlink>
        </w:p>
        <w:p w:rsidR="00D06CC1" w:rsidRDefault="00D06CC1" w:rsidP="00D06CC1"/>
        <w:p w:rsidR="00D06CC1" w:rsidRPr="00D06CC1" w:rsidRDefault="00D06CC1" w:rsidP="00D06CC1"/>
        <w:p w:rsidR="00D06CC1" w:rsidRDefault="00D06CC1">
          <w:pPr>
            <w:pStyle w:val="TM1"/>
            <w:tabs>
              <w:tab w:val="right" w:leader="dot" w:pos="9062"/>
            </w:tabs>
            <w:rPr>
              <w:rStyle w:val="Lienhypertexte"/>
              <w:noProof/>
            </w:rPr>
          </w:pPr>
          <w:hyperlink w:anchor="_Toc90543157" w:history="1">
            <w:r w:rsidRPr="000450D7">
              <w:rPr>
                <w:rStyle w:val="Lienhypertexte"/>
                <w:noProof/>
              </w:rPr>
              <w:t>Bilan de prospection</w:t>
            </w:r>
            <w:r>
              <w:rPr>
                <w:noProof/>
                <w:webHidden/>
              </w:rPr>
              <w:tab/>
            </w:r>
            <w:r>
              <w:rPr>
                <w:noProof/>
                <w:webHidden/>
              </w:rPr>
              <w:fldChar w:fldCharType="begin"/>
            </w:r>
            <w:r>
              <w:rPr>
                <w:noProof/>
                <w:webHidden/>
              </w:rPr>
              <w:instrText xml:space="preserve"> PAGEREF _Toc90543157 \h </w:instrText>
            </w:r>
            <w:r>
              <w:rPr>
                <w:noProof/>
                <w:webHidden/>
              </w:rPr>
            </w:r>
            <w:r>
              <w:rPr>
                <w:noProof/>
                <w:webHidden/>
              </w:rPr>
              <w:fldChar w:fldCharType="separate"/>
            </w:r>
            <w:r>
              <w:rPr>
                <w:noProof/>
                <w:webHidden/>
              </w:rPr>
              <w:t>4</w:t>
            </w:r>
            <w:r>
              <w:rPr>
                <w:noProof/>
                <w:webHidden/>
              </w:rPr>
              <w:fldChar w:fldCharType="end"/>
            </w:r>
          </w:hyperlink>
        </w:p>
        <w:p w:rsidR="00D06CC1" w:rsidRDefault="00D06CC1" w:rsidP="00D06CC1"/>
        <w:p w:rsidR="00D06CC1" w:rsidRPr="00D06CC1" w:rsidRDefault="00D06CC1" w:rsidP="00D06CC1"/>
        <w:p w:rsidR="00D06CC1" w:rsidRDefault="00D06CC1">
          <w:pPr>
            <w:pStyle w:val="TM1"/>
            <w:tabs>
              <w:tab w:val="right" w:leader="dot" w:pos="9062"/>
            </w:tabs>
            <w:rPr>
              <w:noProof/>
            </w:rPr>
          </w:pPr>
          <w:hyperlink w:anchor="_Toc90543158" w:history="1">
            <w:r w:rsidRPr="000450D7">
              <w:rPr>
                <w:rStyle w:val="Lienhypertexte"/>
                <w:noProof/>
              </w:rPr>
              <w:t>Perspectives et présentation des futurs action commerciales</w:t>
            </w:r>
            <w:r>
              <w:rPr>
                <w:noProof/>
                <w:webHidden/>
              </w:rPr>
              <w:tab/>
            </w:r>
            <w:r>
              <w:rPr>
                <w:noProof/>
                <w:webHidden/>
              </w:rPr>
              <w:fldChar w:fldCharType="begin"/>
            </w:r>
            <w:r>
              <w:rPr>
                <w:noProof/>
                <w:webHidden/>
              </w:rPr>
              <w:instrText xml:space="preserve"> PAGEREF _Toc90543158 \h </w:instrText>
            </w:r>
            <w:r>
              <w:rPr>
                <w:noProof/>
                <w:webHidden/>
              </w:rPr>
            </w:r>
            <w:r>
              <w:rPr>
                <w:noProof/>
                <w:webHidden/>
              </w:rPr>
              <w:fldChar w:fldCharType="separate"/>
            </w:r>
            <w:r>
              <w:rPr>
                <w:noProof/>
                <w:webHidden/>
              </w:rPr>
              <w:t>4</w:t>
            </w:r>
            <w:r>
              <w:rPr>
                <w:noProof/>
                <w:webHidden/>
              </w:rPr>
              <w:fldChar w:fldCharType="end"/>
            </w:r>
          </w:hyperlink>
        </w:p>
        <w:p w:rsidR="00D06CC1" w:rsidRDefault="00D06CC1">
          <w:r>
            <w:rPr>
              <w:b/>
              <w:bCs/>
            </w:rPr>
            <w:fldChar w:fldCharType="end"/>
          </w:r>
        </w:p>
      </w:sdtContent>
    </w:sdt>
    <w:p w:rsidR="00AA670E" w:rsidRDefault="00AA670E" w:rsidP="00AA670E">
      <w:pPr>
        <w:pStyle w:val="En-ttedetabledesmatires"/>
      </w:pPr>
    </w:p>
    <w:p w:rsidR="001674D6" w:rsidRDefault="001674D6"/>
    <w:p w:rsidR="00AA670E" w:rsidRDefault="00AA670E"/>
    <w:p w:rsidR="00AA670E" w:rsidRDefault="00AA670E"/>
    <w:p w:rsidR="00AA670E" w:rsidRDefault="00AA670E"/>
    <w:p w:rsidR="00AA670E" w:rsidRDefault="00AA670E"/>
    <w:p w:rsidR="00AA670E" w:rsidRDefault="00AA670E"/>
    <w:p w:rsidR="00AA670E" w:rsidRDefault="00AA670E"/>
    <w:p w:rsidR="00AA670E" w:rsidRDefault="00AA670E"/>
    <w:p w:rsidR="00AA670E" w:rsidRDefault="00AA670E"/>
    <w:p w:rsidR="00AA670E" w:rsidRDefault="00AA670E"/>
    <w:p w:rsidR="00AA670E" w:rsidRDefault="00AA670E" w:rsidP="00D06CC1">
      <w:pPr>
        <w:pStyle w:val="Titre1"/>
      </w:pPr>
      <w:bookmarkStart w:id="0" w:name="_Toc90543151"/>
      <w:r>
        <w:t>Introduction</w:t>
      </w:r>
      <w:bookmarkEnd w:id="0"/>
      <w:r>
        <w:t xml:space="preserve"> </w:t>
      </w:r>
    </w:p>
    <w:p w:rsidR="00AA670E" w:rsidRDefault="00AA670E" w:rsidP="00AA670E">
      <w:pPr>
        <w:pStyle w:val="Paragraphedeliste"/>
        <w:ind w:left="1800"/>
      </w:pPr>
    </w:p>
    <w:p w:rsidR="00AA670E" w:rsidRDefault="00AA670E" w:rsidP="00AA670E">
      <w:pPr>
        <w:pStyle w:val="Paragraphedeliste"/>
        <w:ind w:left="1800"/>
      </w:pPr>
    </w:p>
    <w:p w:rsidR="00AA670E" w:rsidRPr="00AA670E" w:rsidRDefault="00AA670E" w:rsidP="00AA670E">
      <w:pPr>
        <w:jc w:val="both"/>
      </w:pPr>
      <w:r w:rsidRPr="00AA670E">
        <w:t>LANDAUER est le premier acteur mondial de la </w:t>
      </w:r>
      <w:hyperlink r:id="rId9" w:history="1">
        <w:r w:rsidRPr="00AA670E">
          <w:t>dosimétrie</w:t>
        </w:r>
      </w:hyperlink>
      <w:r w:rsidRPr="00AA670E">
        <w:t> passive. Plus de 2 millions de travailleurs font confiance à LANDAUER pour leur radioprotection.</w:t>
      </w:r>
    </w:p>
    <w:p w:rsidR="00AA670E" w:rsidRPr="00AA670E" w:rsidRDefault="00AA670E" w:rsidP="00AA670E">
      <w:pPr>
        <w:jc w:val="both"/>
      </w:pPr>
      <w:r w:rsidRPr="00AA670E">
        <w:t>Les solutions LANDAUER répondent à vos besoins en dosimétrie dans le respect de la réglementation en matière de radioprotection.</w:t>
      </w:r>
    </w:p>
    <w:p w:rsidR="00AA670E" w:rsidRPr="00AA670E" w:rsidRDefault="00AA670E" w:rsidP="00AA670E">
      <w:pPr>
        <w:jc w:val="both"/>
      </w:pPr>
      <w:hyperlink r:id="rId10" w:history="1">
        <w:r w:rsidRPr="00AA670E">
          <w:t>Suivi dosimétrique agréé</w:t>
        </w:r>
      </w:hyperlink>
      <w:r w:rsidRPr="00AA670E">
        <w:t> : de la fourniture des dosimètres réglementaires jusqu’aux résultats dosimétriques</w:t>
      </w:r>
    </w:p>
    <w:p w:rsidR="00AA670E" w:rsidRPr="00AA670E" w:rsidRDefault="00AA670E" w:rsidP="00AA670E">
      <w:pPr>
        <w:jc w:val="both"/>
      </w:pPr>
      <w:hyperlink r:id="rId11" w:history="1">
        <w:r w:rsidRPr="00AA670E">
          <w:t>Équipements de dosimétrie</w:t>
        </w:r>
      </w:hyperlink>
      <w:r w:rsidRPr="00AA670E">
        <w:t> : fournitures des lecteurs de dosimètres OSL et logiciels pour les laboratoire et hôpitaux assurant le suivi dosimétrique des travailleurs et des patients</w:t>
      </w:r>
    </w:p>
    <w:p w:rsidR="00AA670E" w:rsidRPr="00AA670E" w:rsidRDefault="00AA670E" w:rsidP="00AA670E">
      <w:pPr>
        <w:jc w:val="both"/>
        <w:rPr>
          <w:rFonts w:ascii="Source Sans Pro" w:eastAsia="Times New Roman" w:hAnsi="Source Sans Pro" w:cs="Times New Roman"/>
          <w:color w:val="000000"/>
          <w:sz w:val="26"/>
          <w:szCs w:val="26"/>
          <w:lang w:eastAsia="fr-FR"/>
        </w:rPr>
      </w:pPr>
      <w:r w:rsidRPr="00AA670E">
        <w:t>LANDAUER est un laboratoire de dosimétrie agréé par </w:t>
      </w:r>
      <w:hyperlink r:id="rId12" w:tgtFrame="_blank" w:history="1">
        <w:r w:rsidRPr="00AA670E">
          <w:t>l’ASN</w:t>
        </w:r>
      </w:hyperlink>
      <w:r w:rsidRPr="00AA670E">
        <w:t> (Autorité de Sûreté Nucléaire) pour procéder à la surveillance individuelle de l’exposition externe des travailleurs soumis aux rayonnements ionisants</w:t>
      </w:r>
      <w:r w:rsidRPr="00AA670E">
        <w:rPr>
          <w:rFonts w:ascii="Source Sans Pro" w:eastAsia="Times New Roman" w:hAnsi="Source Sans Pro" w:cs="Times New Roman"/>
          <w:color w:val="000000"/>
          <w:sz w:val="26"/>
          <w:szCs w:val="26"/>
          <w:lang w:eastAsia="fr-FR"/>
        </w:rPr>
        <w:t>.</w:t>
      </w:r>
    </w:p>
    <w:p w:rsidR="00AA670E" w:rsidRDefault="00AA670E" w:rsidP="00AA670E">
      <w:pPr>
        <w:jc w:val="both"/>
      </w:pPr>
      <w:r>
        <w:t>Qu’est-ce que la dosimétrie ?</w:t>
      </w:r>
    </w:p>
    <w:p w:rsidR="00AA670E" w:rsidRPr="00AA670E" w:rsidRDefault="00AA670E" w:rsidP="00AA670E">
      <w:pPr>
        <w:jc w:val="both"/>
      </w:pPr>
      <w:r w:rsidRPr="00AA670E">
        <w:t>La dosimétrie est la mesure de la dose de rayonnements ionisants (rayons X, gamma, bêta, neutrons) reçue par un objet ou une personne. Elle fait partie des outils de la radioprotection pour estimer la dose équivalente ou la dose efficace.</w:t>
      </w:r>
    </w:p>
    <w:p w:rsidR="00AA670E" w:rsidRDefault="00AA670E" w:rsidP="00AA670E">
      <w:pPr>
        <w:jc w:val="both"/>
      </w:pPr>
    </w:p>
    <w:p w:rsidR="00AA670E" w:rsidRDefault="00AA670E" w:rsidP="00AA670E">
      <w:pPr>
        <w:jc w:val="both"/>
      </w:pPr>
    </w:p>
    <w:p w:rsidR="00AA670E" w:rsidRDefault="00AA670E" w:rsidP="00AA670E">
      <w:pPr>
        <w:jc w:val="both"/>
      </w:pPr>
    </w:p>
    <w:p w:rsidR="00AA670E" w:rsidRDefault="00AA670E" w:rsidP="00AA670E">
      <w:pPr>
        <w:jc w:val="both"/>
      </w:pPr>
    </w:p>
    <w:p w:rsidR="00AA670E" w:rsidRDefault="00AA670E" w:rsidP="00AA670E">
      <w:pPr>
        <w:jc w:val="both"/>
      </w:pPr>
    </w:p>
    <w:p w:rsidR="00AA670E" w:rsidRDefault="00AA670E" w:rsidP="00AA670E">
      <w:pPr>
        <w:jc w:val="both"/>
      </w:pPr>
      <w:r>
        <w:rPr>
          <w:noProof/>
        </w:rPr>
        <w:lastRenderedPageBreak/>
        <w:drawing>
          <wp:inline distT="0" distB="0" distL="0" distR="0" wp14:anchorId="6E4E9174" wp14:editId="572F10D7">
            <wp:extent cx="5519709" cy="136144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flipV="1">
                      <a:off x="0" y="0"/>
                      <a:ext cx="5695131" cy="1404708"/>
                    </a:xfrm>
                    <a:prstGeom prst="rect">
                      <a:avLst/>
                    </a:prstGeom>
                    <a:noFill/>
                  </pic:spPr>
                </pic:pic>
              </a:graphicData>
            </a:graphic>
          </wp:inline>
        </w:drawing>
      </w:r>
    </w:p>
    <w:p w:rsidR="00AA670E" w:rsidRDefault="00AA670E" w:rsidP="00AA670E">
      <w:pPr>
        <w:jc w:val="both"/>
      </w:pPr>
    </w:p>
    <w:p w:rsidR="00AA670E" w:rsidRDefault="00AA670E" w:rsidP="00AA670E">
      <w:pPr>
        <w:jc w:val="both"/>
      </w:pPr>
    </w:p>
    <w:p w:rsidR="00D06CC1" w:rsidRDefault="00D06CC1" w:rsidP="00AA670E">
      <w:pPr>
        <w:jc w:val="both"/>
      </w:pPr>
    </w:p>
    <w:p w:rsidR="00D06CC1" w:rsidRDefault="00D06CC1" w:rsidP="00AA670E">
      <w:pPr>
        <w:jc w:val="both"/>
      </w:pPr>
    </w:p>
    <w:p w:rsidR="00AA670E" w:rsidRDefault="00AA670E" w:rsidP="00D06CC1">
      <w:pPr>
        <w:pStyle w:val="Titre1"/>
      </w:pPr>
      <w:bookmarkStart w:id="1" w:name="_Toc90543152"/>
      <w:r>
        <w:t>Présentation de l’entreprise</w:t>
      </w:r>
      <w:bookmarkEnd w:id="1"/>
      <w:r>
        <w:t xml:space="preserve"> </w:t>
      </w:r>
    </w:p>
    <w:p w:rsidR="00AA670E" w:rsidRDefault="00AA670E" w:rsidP="00AA670E">
      <w:pPr>
        <w:pStyle w:val="Paragraphedeliste"/>
        <w:ind w:left="1800"/>
        <w:jc w:val="both"/>
      </w:pPr>
    </w:p>
    <w:p w:rsidR="00AA670E" w:rsidRDefault="00AA670E" w:rsidP="00D06CC1">
      <w:pPr>
        <w:pStyle w:val="Titre2"/>
      </w:pPr>
      <w:bookmarkStart w:id="2" w:name="_Toc90543153"/>
      <w:r>
        <w:t>Identité</w:t>
      </w:r>
      <w:bookmarkEnd w:id="2"/>
    </w:p>
    <w:p w:rsidR="00AA670E" w:rsidRDefault="00AA670E" w:rsidP="00AA670E">
      <w:pPr>
        <w:jc w:val="both"/>
      </w:pPr>
      <w:hyperlink r:id="rId14" w:history="1">
        <w:r w:rsidRPr="00AA670E">
          <w:t>LANDAUER EUROPE</w:t>
        </w:r>
      </w:hyperlink>
      <w:r w:rsidRPr="00AA670E">
        <w:t>, société par actions simplifiée, immatriculée sous le SIREN 441462033, est active depuis 19 ans. Implantée à VELIZY-VILLACOUBLAY (78140), elle est spécialisée dans le secteur d'activité de l'ingénierie, études techniques. Son effectif </w:t>
      </w:r>
      <w:r w:rsidRPr="00AA670E">
        <w:t>est compris entre 50 et 99 salariés.</w:t>
      </w:r>
      <w:r w:rsidRPr="00AA670E">
        <w:t> Sur l'année 2020 elle réalise un chiffre d'affaires de </w:t>
      </w:r>
      <w:hyperlink r:id="rId15" w:history="1">
        <w:r w:rsidRPr="00AA670E">
          <w:t>14 584 800,00 €</w:t>
        </w:r>
      </w:hyperlink>
      <w:r w:rsidRPr="00AA670E">
        <w:t>. Le total du bilan a augmenté de </w:t>
      </w:r>
      <w:r w:rsidRPr="00AA670E">
        <w:t>10,59 %</w:t>
      </w:r>
      <w:r w:rsidRPr="00AA670E">
        <w:t> entre 2019 et 2020. Societe.com recense </w:t>
      </w:r>
      <w:hyperlink r:id="rId16" w:history="1">
        <w:r w:rsidRPr="00AA670E">
          <w:t>3 établissements </w:t>
        </w:r>
      </w:hyperlink>
      <w:r w:rsidRPr="00AA670E">
        <w:t>et </w:t>
      </w:r>
      <w:hyperlink r:id="rId17" w:history="1">
        <w:r w:rsidRPr="00AA670E">
          <w:t>le </w:t>
        </w:r>
      </w:hyperlink>
      <w:hyperlink r:id="rId18" w:history="1">
        <w:r w:rsidRPr="00AA670E">
          <w:t>dernier événement</w:t>
        </w:r>
      </w:hyperlink>
      <w:r w:rsidRPr="00AA670E">
        <w:t> notable de cette entreprise date du 06-07-2020. </w:t>
      </w:r>
      <w:hyperlink r:id="rId19" w:history="1">
        <w:r w:rsidRPr="00AA670E">
          <w:t>Jeroen VAN DE WIEL</w:t>
        </w:r>
      </w:hyperlink>
      <w:r w:rsidRPr="00AA670E">
        <w:t>, est président de l'entreprise LANDAUER EUROPE.</w:t>
      </w:r>
    </w:p>
    <w:p w:rsidR="00AA670E" w:rsidRDefault="00AA670E" w:rsidP="00AA670E">
      <w:pPr>
        <w:jc w:val="both"/>
      </w:pPr>
    </w:p>
    <w:p w:rsidR="00D06CC1" w:rsidRDefault="00D06CC1" w:rsidP="00D06CC1">
      <w:pPr>
        <w:pStyle w:val="Titre2"/>
      </w:pPr>
      <w:bookmarkStart w:id="3" w:name="_Toc90543154"/>
      <w:r>
        <w:t>Chiffre clé</w:t>
      </w:r>
      <w:bookmarkEnd w:id="3"/>
      <w:r>
        <w:t xml:space="preserve">  </w:t>
      </w:r>
    </w:p>
    <w:p w:rsidR="00D06CC1" w:rsidRDefault="00D06CC1" w:rsidP="00D06CC1">
      <w:pPr>
        <w:pStyle w:val="Paragraphedeliste"/>
        <w:ind w:left="2160"/>
        <w:jc w:val="both"/>
      </w:pPr>
    </w:p>
    <w:p w:rsidR="00D06CC1" w:rsidRDefault="00D06CC1" w:rsidP="00D06CC1">
      <w:pPr>
        <w:pStyle w:val="Titre3"/>
        <w:rPr>
          <w:rFonts w:ascii="Arial" w:hAnsi="Arial" w:cs="Arial"/>
          <w:color w:val="232A34"/>
        </w:rPr>
      </w:pPr>
    </w:p>
    <w:tbl>
      <w:tblPr>
        <w:tblW w:w="0" w:type="auto"/>
        <w:tblCellMar>
          <w:left w:w="0" w:type="dxa"/>
          <w:right w:w="0" w:type="dxa"/>
        </w:tblCellMar>
        <w:tblLook w:val="04A0" w:firstRow="1" w:lastRow="0" w:firstColumn="1" w:lastColumn="0" w:noHBand="0" w:noVBand="1"/>
      </w:tblPr>
      <w:tblGrid>
        <w:gridCol w:w="3161"/>
        <w:gridCol w:w="2006"/>
        <w:gridCol w:w="2006"/>
        <w:gridCol w:w="869"/>
      </w:tblGrid>
      <w:tr w:rsidR="00D06CC1" w:rsidTr="00D06CC1">
        <w:tc>
          <w:tcPr>
            <w:tcW w:w="0" w:type="auto"/>
            <w:shd w:val="clear" w:color="auto" w:fill="auto"/>
            <w:vAlign w:val="center"/>
            <w:hideMark/>
          </w:tcPr>
          <w:p w:rsidR="00D06CC1" w:rsidRDefault="00D06CC1">
            <w:pPr>
              <w:jc w:val="center"/>
              <w:rPr>
                <w:rFonts w:ascii="Arial" w:hAnsi="Arial" w:cs="Arial"/>
                <w:color w:val="000000"/>
              </w:rPr>
            </w:pPr>
            <w:r>
              <w:rPr>
                <w:rFonts w:ascii="Arial" w:hAnsi="Arial" w:cs="Arial"/>
                <w:color w:val="000000"/>
              </w:rPr>
              <w:t>Date de publication de l'exercice</w:t>
            </w:r>
          </w:p>
        </w:tc>
        <w:tc>
          <w:tcPr>
            <w:tcW w:w="0" w:type="auto"/>
            <w:shd w:val="clear" w:color="auto" w:fill="auto"/>
            <w:vAlign w:val="center"/>
            <w:hideMark/>
          </w:tcPr>
          <w:p w:rsidR="00D06CC1" w:rsidRDefault="00D06CC1">
            <w:pPr>
              <w:jc w:val="right"/>
              <w:rPr>
                <w:rFonts w:ascii="Arial" w:hAnsi="Arial" w:cs="Arial"/>
                <w:color w:val="000000"/>
              </w:rPr>
            </w:pPr>
            <w:r>
              <w:rPr>
                <w:rFonts w:ascii="Arial" w:hAnsi="Arial" w:cs="Arial"/>
                <w:color w:val="000000"/>
              </w:rPr>
              <w:t>31-12-2020</w:t>
            </w:r>
          </w:p>
        </w:tc>
        <w:tc>
          <w:tcPr>
            <w:tcW w:w="0" w:type="auto"/>
            <w:shd w:val="clear" w:color="auto" w:fill="auto"/>
            <w:vAlign w:val="center"/>
            <w:hideMark/>
          </w:tcPr>
          <w:p w:rsidR="00D06CC1" w:rsidRDefault="00D06CC1">
            <w:pPr>
              <w:jc w:val="right"/>
              <w:rPr>
                <w:rFonts w:ascii="Arial" w:hAnsi="Arial" w:cs="Arial"/>
                <w:color w:val="000000"/>
              </w:rPr>
            </w:pPr>
            <w:r>
              <w:rPr>
                <w:rFonts w:ascii="Arial" w:hAnsi="Arial" w:cs="Arial"/>
                <w:color w:val="000000"/>
              </w:rPr>
              <w:t>31-12-2019</w:t>
            </w:r>
          </w:p>
        </w:tc>
        <w:tc>
          <w:tcPr>
            <w:tcW w:w="0" w:type="auto"/>
            <w:shd w:val="clear" w:color="auto" w:fill="auto"/>
            <w:vAlign w:val="center"/>
            <w:hideMark/>
          </w:tcPr>
          <w:p w:rsidR="00D06CC1" w:rsidRDefault="00D06CC1">
            <w:pPr>
              <w:jc w:val="right"/>
              <w:rPr>
                <w:rFonts w:ascii="Arial" w:hAnsi="Arial" w:cs="Arial"/>
                <w:color w:val="000000"/>
              </w:rPr>
            </w:pPr>
            <w:r>
              <w:rPr>
                <w:rFonts w:ascii="Arial" w:hAnsi="Arial" w:cs="Arial"/>
                <w:color w:val="000000"/>
              </w:rPr>
              <w:t>Variation</w:t>
            </w:r>
          </w:p>
        </w:tc>
      </w:tr>
      <w:tr w:rsidR="00D06CC1" w:rsidTr="00D06CC1">
        <w:tc>
          <w:tcPr>
            <w:tcW w:w="0" w:type="auto"/>
            <w:shd w:val="clear" w:color="auto" w:fill="EAF1F8"/>
            <w:vAlign w:val="center"/>
            <w:hideMark/>
          </w:tcPr>
          <w:p w:rsidR="00D06CC1" w:rsidRDefault="00D06CC1">
            <w:pPr>
              <w:rPr>
                <w:rFonts w:ascii="Arial" w:hAnsi="Arial" w:cs="Arial"/>
                <w:color w:val="656565"/>
              </w:rPr>
            </w:pPr>
            <w:r>
              <w:rPr>
                <w:rFonts w:ascii="Arial" w:hAnsi="Arial" w:cs="Arial"/>
                <w:color w:val="656565"/>
              </w:rPr>
              <w:t>Total du Bilan (Actif / Passif)</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15 049 800 €</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13 609 000 €</w:t>
            </w:r>
          </w:p>
        </w:tc>
        <w:tc>
          <w:tcPr>
            <w:tcW w:w="0" w:type="auto"/>
            <w:shd w:val="clear" w:color="auto" w:fill="EAF1F8"/>
            <w:vAlign w:val="center"/>
            <w:hideMark/>
          </w:tcPr>
          <w:p w:rsidR="00D06CC1" w:rsidRDefault="00D06CC1">
            <w:pPr>
              <w:jc w:val="right"/>
              <w:rPr>
                <w:rFonts w:ascii="Arial" w:hAnsi="Arial" w:cs="Arial"/>
                <w:color w:val="4CAF50"/>
              </w:rPr>
            </w:pPr>
            <w:r>
              <w:rPr>
                <w:rFonts w:ascii="Arial" w:hAnsi="Arial" w:cs="Arial"/>
                <w:color w:val="4CAF50"/>
              </w:rPr>
              <w:t>10,59 %</w:t>
            </w:r>
          </w:p>
        </w:tc>
      </w:tr>
      <w:tr w:rsidR="00D06CC1" w:rsidTr="00D06CC1">
        <w:tc>
          <w:tcPr>
            <w:tcW w:w="0" w:type="auto"/>
            <w:shd w:val="clear" w:color="auto" w:fill="auto"/>
            <w:vAlign w:val="center"/>
            <w:hideMark/>
          </w:tcPr>
          <w:p w:rsidR="00D06CC1" w:rsidRDefault="00D06CC1">
            <w:pPr>
              <w:rPr>
                <w:rFonts w:ascii="Roboto-Regular-webfont" w:hAnsi="Roboto-Regular-webfont" w:cs="Times New Roman"/>
                <w:color w:val="656565"/>
              </w:rPr>
            </w:pPr>
            <w:proofErr w:type="gramStart"/>
            <w:r>
              <w:rPr>
                <w:rFonts w:ascii="Roboto-Regular-webfont" w:hAnsi="Roboto-Regular-webfont"/>
                <w:color w:val="656565"/>
              </w:rPr>
              <w:t>dont</w:t>
            </w:r>
            <w:proofErr w:type="gramEnd"/>
            <w:r>
              <w:rPr>
                <w:rFonts w:ascii="Roboto-Regular-webfont" w:hAnsi="Roboto-Regular-webfont"/>
                <w:color w:val="656565"/>
              </w:rPr>
              <w:t xml:space="preserve"> Trésorerie</w:t>
            </w:r>
          </w:p>
        </w:tc>
        <w:tc>
          <w:tcPr>
            <w:tcW w:w="0" w:type="auto"/>
            <w:shd w:val="clear" w:color="auto" w:fill="auto"/>
            <w:vAlign w:val="center"/>
            <w:hideMark/>
          </w:tcPr>
          <w:p w:rsidR="00D06CC1" w:rsidRDefault="00D06CC1">
            <w:pPr>
              <w:jc w:val="right"/>
              <w:rPr>
                <w:rFonts w:ascii="Roboto-Regular-webfont" w:hAnsi="Roboto-Regular-webfont"/>
                <w:color w:val="232A34"/>
              </w:rPr>
            </w:pPr>
            <w:hyperlink r:id="rId20" w:history="1">
              <w:proofErr w:type="gramStart"/>
              <w:r>
                <w:rPr>
                  <w:rStyle w:val="Lienhypertexte"/>
                  <w:rFonts w:ascii="Roboto-Regular-webfont" w:hAnsi="Roboto-Regular-webfont"/>
                  <w:color w:val="2091DE"/>
                </w:rPr>
                <w:t>voir</w:t>
              </w:r>
              <w:proofErr w:type="gramEnd"/>
              <w:r>
                <w:rPr>
                  <w:rStyle w:val="Lienhypertexte"/>
                  <w:rFonts w:ascii="Roboto-Regular-webfont" w:hAnsi="Roboto-Regular-webfont"/>
                  <w:color w:val="2091DE"/>
                </w:rPr>
                <w:t xml:space="preserve"> le détail du bilan</w:t>
              </w:r>
            </w:hyperlink>
          </w:p>
        </w:tc>
        <w:tc>
          <w:tcPr>
            <w:tcW w:w="0" w:type="auto"/>
            <w:shd w:val="clear" w:color="auto" w:fill="auto"/>
            <w:vAlign w:val="center"/>
            <w:hideMark/>
          </w:tcPr>
          <w:p w:rsidR="00D06CC1" w:rsidRDefault="00D06CC1">
            <w:pPr>
              <w:jc w:val="right"/>
              <w:rPr>
                <w:rFonts w:ascii="Roboto-Regular-webfont" w:hAnsi="Roboto-Regular-webfont"/>
                <w:color w:val="232A34"/>
              </w:rPr>
            </w:pPr>
            <w:hyperlink r:id="rId21" w:history="1">
              <w:proofErr w:type="gramStart"/>
              <w:r>
                <w:rPr>
                  <w:rStyle w:val="Lienhypertexte"/>
                  <w:rFonts w:ascii="Roboto-Regular-webfont" w:hAnsi="Roboto-Regular-webfont"/>
                  <w:color w:val="2091DE"/>
                </w:rPr>
                <w:t>voir</w:t>
              </w:r>
              <w:proofErr w:type="gramEnd"/>
              <w:r>
                <w:rPr>
                  <w:rStyle w:val="Lienhypertexte"/>
                  <w:rFonts w:ascii="Roboto-Regular-webfont" w:hAnsi="Roboto-Regular-webfont"/>
                  <w:color w:val="2091DE"/>
                </w:rPr>
                <w:t xml:space="preserve"> le détail du bilan</w:t>
              </w:r>
            </w:hyperlink>
          </w:p>
        </w:tc>
        <w:tc>
          <w:tcPr>
            <w:tcW w:w="0" w:type="auto"/>
            <w:shd w:val="clear" w:color="auto" w:fill="auto"/>
            <w:vAlign w:val="center"/>
            <w:hideMark/>
          </w:tcPr>
          <w:p w:rsidR="00D06CC1" w:rsidRDefault="00D06CC1">
            <w:pPr>
              <w:jc w:val="right"/>
              <w:rPr>
                <w:rFonts w:ascii="Roboto-Regular-webfont" w:hAnsi="Roboto-Regular-webfont"/>
                <w:color w:val="232A34"/>
              </w:rPr>
            </w:pPr>
          </w:p>
        </w:tc>
      </w:tr>
      <w:tr w:rsidR="00D06CC1" w:rsidTr="00D06CC1">
        <w:tc>
          <w:tcPr>
            <w:tcW w:w="0" w:type="auto"/>
            <w:shd w:val="clear" w:color="auto" w:fill="auto"/>
            <w:vAlign w:val="center"/>
            <w:hideMark/>
          </w:tcPr>
          <w:p w:rsidR="00D06CC1" w:rsidRDefault="00D06CC1">
            <w:pPr>
              <w:rPr>
                <w:rFonts w:ascii="Roboto-Regular-webfont" w:hAnsi="Roboto-Regular-webfont"/>
                <w:color w:val="656565"/>
                <w:sz w:val="24"/>
                <w:szCs w:val="24"/>
              </w:rPr>
            </w:pPr>
            <w:proofErr w:type="gramStart"/>
            <w:r>
              <w:rPr>
                <w:rFonts w:ascii="Roboto-Regular-webfont" w:hAnsi="Roboto-Regular-webfont"/>
                <w:color w:val="656565"/>
              </w:rPr>
              <w:t>dont</w:t>
            </w:r>
            <w:proofErr w:type="gramEnd"/>
            <w:r>
              <w:rPr>
                <w:rFonts w:ascii="Roboto-Regular-webfont" w:hAnsi="Roboto-Regular-webfont"/>
                <w:color w:val="656565"/>
              </w:rPr>
              <w:t xml:space="preserve"> Capitaux propres</w:t>
            </w:r>
          </w:p>
        </w:tc>
        <w:tc>
          <w:tcPr>
            <w:tcW w:w="0" w:type="auto"/>
            <w:shd w:val="clear" w:color="auto" w:fill="auto"/>
            <w:vAlign w:val="center"/>
            <w:hideMark/>
          </w:tcPr>
          <w:p w:rsidR="00D06CC1" w:rsidRDefault="00D06CC1">
            <w:pPr>
              <w:jc w:val="right"/>
              <w:rPr>
                <w:rFonts w:ascii="Roboto-Regular-webfont" w:hAnsi="Roboto-Regular-webfont"/>
                <w:color w:val="232A34"/>
              </w:rPr>
            </w:pPr>
            <w:r>
              <w:rPr>
                <w:rFonts w:ascii="Roboto-Regular-webfont" w:hAnsi="Roboto-Regular-webfont"/>
                <w:color w:val="232A34"/>
              </w:rPr>
              <w:t>9 633 300 €</w:t>
            </w:r>
          </w:p>
        </w:tc>
        <w:tc>
          <w:tcPr>
            <w:tcW w:w="0" w:type="auto"/>
            <w:shd w:val="clear" w:color="auto" w:fill="auto"/>
            <w:vAlign w:val="center"/>
            <w:hideMark/>
          </w:tcPr>
          <w:p w:rsidR="00D06CC1" w:rsidRDefault="00D06CC1">
            <w:pPr>
              <w:jc w:val="right"/>
              <w:rPr>
                <w:rFonts w:ascii="Roboto-Regular-webfont" w:hAnsi="Roboto-Regular-webfont"/>
                <w:color w:val="232A34"/>
              </w:rPr>
            </w:pPr>
            <w:r>
              <w:rPr>
                <w:rFonts w:ascii="Roboto-Regular-webfont" w:hAnsi="Roboto-Regular-webfont"/>
                <w:color w:val="232A34"/>
              </w:rPr>
              <w:t>9 559 800 €</w:t>
            </w:r>
          </w:p>
        </w:tc>
        <w:tc>
          <w:tcPr>
            <w:tcW w:w="0" w:type="auto"/>
            <w:shd w:val="clear" w:color="auto" w:fill="auto"/>
            <w:vAlign w:val="center"/>
            <w:hideMark/>
          </w:tcPr>
          <w:p w:rsidR="00D06CC1" w:rsidRDefault="00D06CC1">
            <w:pPr>
              <w:jc w:val="right"/>
              <w:rPr>
                <w:rFonts w:ascii="Roboto-Regular-webfont" w:hAnsi="Roboto-Regular-webfont"/>
                <w:color w:val="4CAF50"/>
              </w:rPr>
            </w:pPr>
            <w:r>
              <w:rPr>
                <w:rFonts w:ascii="Roboto-Regular-webfont" w:hAnsi="Roboto-Regular-webfont"/>
                <w:color w:val="4CAF50"/>
              </w:rPr>
              <w:t>0,77 %</w:t>
            </w:r>
          </w:p>
        </w:tc>
      </w:tr>
      <w:tr w:rsidR="00D06CC1" w:rsidTr="00D06CC1">
        <w:tc>
          <w:tcPr>
            <w:tcW w:w="0" w:type="auto"/>
            <w:shd w:val="clear" w:color="auto" w:fill="auto"/>
            <w:vAlign w:val="center"/>
            <w:hideMark/>
          </w:tcPr>
          <w:p w:rsidR="00D06CC1" w:rsidRDefault="00D06CC1">
            <w:pPr>
              <w:rPr>
                <w:rFonts w:ascii="Roboto-Regular-webfont" w:hAnsi="Roboto-Regular-webfont"/>
                <w:color w:val="656565"/>
              </w:rPr>
            </w:pPr>
            <w:proofErr w:type="gramStart"/>
            <w:r>
              <w:rPr>
                <w:rFonts w:ascii="Roboto-Regular-webfont" w:hAnsi="Roboto-Regular-webfont"/>
                <w:color w:val="656565"/>
              </w:rPr>
              <w:t>dont</w:t>
            </w:r>
            <w:proofErr w:type="gramEnd"/>
            <w:r>
              <w:rPr>
                <w:rFonts w:ascii="Roboto-Regular-webfont" w:hAnsi="Roboto-Regular-webfont"/>
                <w:color w:val="656565"/>
              </w:rPr>
              <w:t xml:space="preserve"> Dettes</w:t>
            </w:r>
          </w:p>
        </w:tc>
        <w:tc>
          <w:tcPr>
            <w:tcW w:w="0" w:type="auto"/>
            <w:shd w:val="clear" w:color="auto" w:fill="auto"/>
            <w:vAlign w:val="center"/>
            <w:hideMark/>
          </w:tcPr>
          <w:p w:rsidR="00D06CC1" w:rsidRDefault="00D06CC1">
            <w:pPr>
              <w:jc w:val="right"/>
              <w:rPr>
                <w:rFonts w:ascii="Roboto-Regular-webfont" w:hAnsi="Roboto-Regular-webfont"/>
                <w:color w:val="232A34"/>
              </w:rPr>
            </w:pPr>
            <w:hyperlink r:id="rId22" w:history="1">
              <w:proofErr w:type="gramStart"/>
              <w:r>
                <w:rPr>
                  <w:rStyle w:val="Lienhypertexte"/>
                  <w:rFonts w:ascii="Roboto-Regular-webfont" w:hAnsi="Roboto-Regular-webfont"/>
                  <w:color w:val="2091DE"/>
                </w:rPr>
                <w:t>voir</w:t>
              </w:r>
              <w:proofErr w:type="gramEnd"/>
              <w:r>
                <w:rPr>
                  <w:rStyle w:val="Lienhypertexte"/>
                  <w:rFonts w:ascii="Roboto-Regular-webfont" w:hAnsi="Roboto-Regular-webfont"/>
                  <w:color w:val="2091DE"/>
                </w:rPr>
                <w:t xml:space="preserve"> le détail du bilan</w:t>
              </w:r>
            </w:hyperlink>
          </w:p>
        </w:tc>
        <w:tc>
          <w:tcPr>
            <w:tcW w:w="0" w:type="auto"/>
            <w:shd w:val="clear" w:color="auto" w:fill="auto"/>
            <w:vAlign w:val="center"/>
            <w:hideMark/>
          </w:tcPr>
          <w:p w:rsidR="00D06CC1" w:rsidRDefault="00D06CC1">
            <w:pPr>
              <w:jc w:val="right"/>
              <w:rPr>
                <w:rFonts w:ascii="Roboto-Regular-webfont" w:hAnsi="Roboto-Regular-webfont"/>
                <w:color w:val="232A34"/>
              </w:rPr>
            </w:pPr>
            <w:hyperlink r:id="rId23" w:history="1">
              <w:proofErr w:type="gramStart"/>
              <w:r>
                <w:rPr>
                  <w:rStyle w:val="Lienhypertexte"/>
                  <w:rFonts w:ascii="Roboto-Regular-webfont" w:hAnsi="Roboto-Regular-webfont"/>
                  <w:color w:val="2091DE"/>
                </w:rPr>
                <w:t>voir</w:t>
              </w:r>
              <w:proofErr w:type="gramEnd"/>
              <w:r>
                <w:rPr>
                  <w:rStyle w:val="Lienhypertexte"/>
                  <w:rFonts w:ascii="Roboto-Regular-webfont" w:hAnsi="Roboto-Regular-webfont"/>
                  <w:color w:val="2091DE"/>
                </w:rPr>
                <w:t xml:space="preserve"> le détail du bilan</w:t>
              </w:r>
            </w:hyperlink>
          </w:p>
        </w:tc>
        <w:tc>
          <w:tcPr>
            <w:tcW w:w="0" w:type="auto"/>
            <w:shd w:val="clear" w:color="auto" w:fill="auto"/>
            <w:vAlign w:val="center"/>
            <w:hideMark/>
          </w:tcPr>
          <w:p w:rsidR="00D06CC1" w:rsidRDefault="00D06CC1">
            <w:pPr>
              <w:jc w:val="right"/>
              <w:rPr>
                <w:rFonts w:ascii="Roboto-Regular-webfont" w:hAnsi="Roboto-Regular-webfont"/>
                <w:color w:val="232A34"/>
              </w:rPr>
            </w:pPr>
          </w:p>
        </w:tc>
      </w:tr>
      <w:tr w:rsidR="00D06CC1" w:rsidTr="00D06CC1">
        <w:tc>
          <w:tcPr>
            <w:tcW w:w="0" w:type="auto"/>
            <w:shd w:val="clear" w:color="auto" w:fill="EAF1F8"/>
            <w:vAlign w:val="center"/>
            <w:hideMark/>
          </w:tcPr>
          <w:p w:rsidR="00D06CC1" w:rsidRDefault="00D06CC1">
            <w:pPr>
              <w:rPr>
                <w:rFonts w:ascii="Arial" w:hAnsi="Arial" w:cs="Arial"/>
                <w:color w:val="656565"/>
                <w:sz w:val="24"/>
                <w:szCs w:val="24"/>
              </w:rPr>
            </w:pPr>
            <w:r>
              <w:rPr>
                <w:rFonts w:ascii="Arial" w:hAnsi="Arial" w:cs="Arial"/>
                <w:color w:val="656565"/>
              </w:rPr>
              <w:t>Chiffre d'affaires</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14 584 800 €</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15 240 200 €</w:t>
            </w:r>
          </w:p>
        </w:tc>
        <w:tc>
          <w:tcPr>
            <w:tcW w:w="0" w:type="auto"/>
            <w:shd w:val="clear" w:color="auto" w:fill="EAF1F8"/>
            <w:vAlign w:val="center"/>
            <w:hideMark/>
          </w:tcPr>
          <w:p w:rsidR="00D06CC1" w:rsidRDefault="00D06CC1">
            <w:pPr>
              <w:jc w:val="right"/>
              <w:rPr>
                <w:rFonts w:ascii="Arial" w:hAnsi="Arial" w:cs="Arial"/>
                <w:color w:val="4CAF50"/>
              </w:rPr>
            </w:pPr>
            <w:r>
              <w:rPr>
                <w:rFonts w:ascii="Arial" w:hAnsi="Arial" w:cs="Arial"/>
                <w:color w:val="4CAF50"/>
              </w:rPr>
              <w:t>-4,30 %</w:t>
            </w:r>
          </w:p>
        </w:tc>
      </w:tr>
      <w:tr w:rsidR="00D06CC1" w:rsidTr="00D06CC1">
        <w:tc>
          <w:tcPr>
            <w:tcW w:w="0" w:type="auto"/>
            <w:shd w:val="clear" w:color="auto" w:fill="EAF1F8"/>
            <w:vAlign w:val="center"/>
            <w:hideMark/>
          </w:tcPr>
          <w:p w:rsidR="00D06CC1" w:rsidRDefault="00D06CC1">
            <w:pPr>
              <w:rPr>
                <w:rFonts w:ascii="Arial" w:hAnsi="Arial" w:cs="Arial"/>
                <w:color w:val="656565"/>
              </w:rPr>
            </w:pPr>
            <w:r>
              <w:rPr>
                <w:rFonts w:ascii="Arial" w:hAnsi="Arial" w:cs="Arial"/>
                <w:color w:val="656565"/>
              </w:rPr>
              <w:t>Résultat net (Bénéfice ou Perte)</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824 100 €</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750 700 €</w:t>
            </w:r>
          </w:p>
        </w:tc>
        <w:tc>
          <w:tcPr>
            <w:tcW w:w="0" w:type="auto"/>
            <w:shd w:val="clear" w:color="auto" w:fill="EAF1F8"/>
            <w:vAlign w:val="center"/>
            <w:hideMark/>
          </w:tcPr>
          <w:p w:rsidR="00D06CC1" w:rsidRDefault="00D06CC1">
            <w:pPr>
              <w:jc w:val="right"/>
              <w:rPr>
                <w:rFonts w:ascii="Arial" w:hAnsi="Arial" w:cs="Arial"/>
                <w:color w:val="4CAF50"/>
              </w:rPr>
            </w:pPr>
            <w:r>
              <w:rPr>
                <w:rFonts w:ascii="Arial" w:hAnsi="Arial" w:cs="Arial"/>
                <w:color w:val="4CAF50"/>
              </w:rPr>
              <w:t>9,78 %</w:t>
            </w:r>
          </w:p>
        </w:tc>
      </w:tr>
      <w:tr w:rsidR="00D06CC1" w:rsidTr="00D06CC1">
        <w:tc>
          <w:tcPr>
            <w:tcW w:w="0" w:type="auto"/>
            <w:shd w:val="clear" w:color="auto" w:fill="EAF1F8"/>
            <w:vAlign w:val="center"/>
            <w:hideMark/>
          </w:tcPr>
          <w:p w:rsidR="00D06CC1" w:rsidRDefault="00D06CC1">
            <w:pPr>
              <w:rPr>
                <w:rFonts w:ascii="Arial" w:hAnsi="Arial" w:cs="Arial"/>
                <w:color w:val="656565"/>
              </w:rPr>
            </w:pPr>
            <w:r>
              <w:rPr>
                <w:rFonts w:ascii="Arial" w:hAnsi="Arial" w:cs="Arial"/>
                <w:color w:val="656565"/>
              </w:rPr>
              <w:t>Effectifs moyens</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55</w:t>
            </w:r>
          </w:p>
        </w:tc>
        <w:tc>
          <w:tcPr>
            <w:tcW w:w="0" w:type="auto"/>
            <w:shd w:val="clear" w:color="auto" w:fill="EAF1F8"/>
            <w:vAlign w:val="center"/>
            <w:hideMark/>
          </w:tcPr>
          <w:p w:rsidR="00D06CC1" w:rsidRDefault="00D06CC1">
            <w:pPr>
              <w:jc w:val="right"/>
              <w:rPr>
                <w:rFonts w:ascii="Arial" w:hAnsi="Arial" w:cs="Arial"/>
                <w:color w:val="000000"/>
              </w:rPr>
            </w:pPr>
            <w:r>
              <w:rPr>
                <w:rFonts w:ascii="Arial" w:hAnsi="Arial" w:cs="Arial"/>
                <w:color w:val="000000"/>
              </w:rPr>
              <w:t>57</w:t>
            </w:r>
          </w:p>
        </w:tc>
        <w:tc>
          <w:tcPr>
            <w:tcW w:w="0" w:type="auto"/>
            <w:shd w:val="clear" w:color="auto" w:fill="EAF1F8"/>
            <w:vAlign w:val="center"/>
            <w:hideMark/>
          </w:tcPr>
          <w:p w:rsidR="00D06CC1" w:rsidRDefault="00D06CC1">
            <w:pPr>
              <w:jc w:val="right"/>
              <w:rPr>
                <w:rFonts w:ascii="Arial" w:hAnsi="Arial" w:cs="Arial"/>
                <w:color w:val="4CAF50"/>
              </w:rPr>
            </w:pPr>
            <w:r>
              <w:rPr>
                <w:rFonts w:ascii="Arial" w:hAnsi="Arial" w:cs="Arial"/>
                <w:color w:val="4CAF50"/>
              </w:rPr>
              <w:t>-3,51 %</w:t>
            </w:r>
          </w:p>
        </w:tc>
      </w:tr>
    </w:tbl>
    <w:p w:rsidR="00D06CC1" w:rsidRDefault="00D06CC1"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F0164A" w:rsidRDefault="00F0164A" w:rsidP="00D06CC1">
      <w:pPr>
        <w:jc w:val="both"/>
      </w:pPr>
    </w:p>
    <w:p w:rsidR="00D06CC1" w:rsidRDefault="00D06CC1" w:rsidP="00D06CC1">
      <w:pPr>
        <w:pStyle w:val="Titre2"/>
      </w:pPr>
      <w:bookmarkStart w:id="4" w:name="_Toc90543156"/>
      <w:r>
        <w:lastRenderedPageBreak/>
        <w:t>Organigramme</w:t>
      </w:r>
      <w:bookmarkEnd w:id="4"/>
      <w:r>
        <w:t xml:space="preserve"> </w:t>
      </w:r>
    </w:p>
    <w:p w:rsidR="00D06CC1" w:rsidRDefault="00D06CC1" w:rsidP="00D06CC1">
      <w:pPr>
        <w:jc w:val="both"/>
      </w:pPr>
    </w:p>
    <w:p w:rsidR="00D06CC1" w:rsidRDefault="00F0164A" w:rsidP="00D06CC1">
      <w:pPr>
        <w:jc w:val="both"/>
      </w:pPr>
      <w:r>
        <w:rPr>
          <w:noProof/>
        </w:rPr>
        <w:drawing>
          <wp:inline distT="0" distB="0" distL="0" distR="0" wp14:anchorId="6220737E" wp14:editId="11FB85C3">
            <wp:extent cx="5760720" cy="323990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39906"/>
                    </a:xfrm>
                    <a:prstGeom prst="rect">
                      <a:avLst/>
                    </a:prstGeom>
                    <a:noFill/>
                  </pic:spPr>
                </pic:pic>
              </a:graphicData>
            </a:graphic>
          </wp:inline>
        </w:drawing>
      </w:r>
    </w:p>
    <w:p w:rsidR="00D06CC1" w:rsidRDefault="00D06CC1" w:rsidP="00D06CC1">
      <w:pPr>
        <w:jc w:val="both"/>
      </w:pPr>
    </w:p>
    <w:p w:rsidR="00D06CC1" w:rsidRDefault="00D06CC1" w:rsidP="00D06CC1">
      <w:pPr>
        <w:jc w:val="both"/>
      </w:pPr>
    </w:p>
    <w:p w:rsidR="00D06CC1" w:rsidRDefault="00D06CC1" w:rsidP="00D06CC1">
      <w:pPr>
        <w:pStyle w:val="Titre1"/>
      </w:pPr>
      <w:bookmarkStart w:id="5" w:name="_Toc90543157"/>
      <w:r>
        <w:t>Bilan de prospection</w:t>
      </w:r>
      <w:bookmarkEnd w:id="5"/>
      <w:r>
        <w:t xml:space="preserve"> </w:t>
      </w:r>
    </w:p>
    <w:p w:rsidR="00D06CC1" w:rsidRDefault="00D06CC1" w:rsidP="00D06CC1">
      <w:pPr>
        <w:pStyle w:val="Paragraphedeliste"/>
        <w:ind w:left="1800"/>
        <w:jc w:val="both"/>
      </w:pPr>
    </w:p>
    <w:p w:rsidR="00D06CC1" w:rsidRDefault="00D06CC1" w:rsidP="00D06CC1">
      <w:pPr>
        <w:jc w:val="both"/>
      </w:pPr>
      <w:r>
        <w:rPr>
          <w:noProof/>
        </w:rPr>
        <w:drawing>
          <wp:inline distT="0" distB="0" distL="0" distR="0" wp14:anchorId="6188B85F" wp14:editId="5515FA43">
            <wp:extent cx="5105400" cy="3657600"/>
            <wp:effectExtent l="0" t="0" r="0" b="0"/>
            <wp:docPr id="3" name="Graphique 3">
              <a:extLst xmlns:a="http://schemas.openxmlformats.org/drawingml/2006/main">
                <a:ext uri="{FF2B5EF4-FFF2-40B4-BE49-F238E27FC236}">
                  <a16:creationId xmlns:a16="http://schemas.microsoft.com/office/drawing/2014/main" id="{E6A97851-5EB5-44BA-822A-472487E9E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06CC1" w:rsidRDefault="00D06CC1" w:rsidP="00D06CC1">
      <w:pPr>
        <w:pStyle w:val="Titre1"/>
      </w:pPr>
      <w:bookmarkStart w:id="6" w:name="_Toc90543158"/>
      <w:r>
        <w:lastRenderedPageBreak/>
        <w:t>Perspectives et présentation des futurs action commerciales</w:t>
      </w:r>
      <w:bookmarkEnd w:id="6"/>
      <w:r>
        <w:t xml:space="preserve"> </w:t>
      </w:r>
    </w:p>
    <w:p w:rsidR="00F0164A" w:rsidRPr="00F0164A" w:rsidRDefault="00F0164A" w:rsidP="00F0164A">
      <w:pPr>
        <w:pStyle w:val="texte"/>
        <w:shd w:val="clear" w:color="auto" w:fill="FFFFFF"/>
        <w:spacing w:before="240" w:beforeAutospacing="0" w:after="240" w:afterAutospacing="0"/>
        <w:jc w:val="both"/>
        <w:rPr>
          <w:rFonts w:asciiTheme="minorHAnsi" w:hAnsiTheme="minorHAnsi"/>
          <w:color w:val="000000"/>
          <w:sz w:val="22"/>
          <w:szCs w:val="22"/>
        </w:rPr>
      </w:pPr>
      <w:r>
        <w:rPr>
          <w:rFonts w:ascii="Verdana" w:hAnsi="Verdana"/>
          <w:color w:val="000000"/>
          <w:sz w:val="18"/>
          <w:szCs w:val="18"/>
        </w:rPr>
        <w:br/>
      </w:r>
      <w:r w:rsidRPr="00F0164A">
        <w:rPr>
          <w:rFonts w:asciiTheme="minorHAnsi" w:hAnsiTheme="minorHAnsi"/>
          <w:color w:val="000000"/>
          <w:sz w:val="22"/>
          <w:szCs w:val="22"/>
        </w:rPr>
        <w:t>Le rapprochement des concepts de management et de participation a suscité un enthousiasme certain et de nombreux auteurs se sont intéressés au Management Participatif, c’est-à-dire au désir d’intégrer les contraintes technico-économiques des entreprises et les revendications socio-humaines de leurs salariés. Il peut correspondre à des conceptions parfois assez différentes les unes des autres et Philippe Hermel, qui y a consacré un ouvrage (17), propose une définition de synthèse qualifiée d’Essai de définition du Management Participatif correspondant aux représentations dominantes » : « Forme de Management favorisant la Participation aux décisions, grâce à l’association du personnel à la définition et à la mise en œuvre des objectifs le concernant ». Jacques Rojot (32) rappelle que, d’un point de vue managérial, les modalités de la participation des salariés sont multiples et peuvent se regrouper en cinq grandes catégories : la participation aux profits, ou à toute autre forme des résultats de l’entreprise ; à la propriété de l’entreprise ; à la prise de décisions de gestion : aux opérations d’amélioration des conditions de travail et de reconstruction du contenu des emplois et des tâches ; et enfin l’intégration étroite du salarié à l’entreprise en développant son sentiment d’appartenance et son identification à ses objectifs. L’élaboration d’un projet d’entreprise relève de cette dernière catégorie.</w:t>
      </w:r>
    </w:p>
    <w:p w:rsidR="00F0164A" w:rsidRPr="00F0164A" w:rsidRDefault="00F0164A" w:rsidP="00F0164A">
      <w:pPr>
        <w:pStyle w:val="texte"/>
        <w:shd w:val="clear" w:color="auto" w:fill="FFFFFF"/>
        <w:spacing w:before="240" w:beforeAutospacing="0" w:after="240" w:afterAutospacing="0"/>
        <w:jc w:val="both"/>
        <w:rPr>
          <w:rFonts w:asciiTheme="minorHAnsi" w:hAnsiTheme="minorHAnsi"/>
          <w:color w:val="000000"/>
          <w:sz w:val="22"/>
          <w:szCs w:val="22"/>
        </w:rPr>
      </w:pPr>
      <w:r w:rsidRPr="00F0164A">
        <w:rPr>
          <w:rStyle w:val="paranumber"/>
          <w:rFonts w:asciiTheme="minorHAnsi" w:eastAsiaTheme="majorEastAsia" w:hAnsiTheme="minorHAnsi"/>
          <w:color w:val="707070"/>
          <w:sz w:val="22"/>
          <w:szCs w:val="22"/>
        </w:rPr>
        <w:t>4</w:t>
      </w:r>
      <w:r w:rsidRPr="00F0164A">
        <w:rPr>
          <w:rFonts w:asciiTheme="minorHAnsi" w:hAnsiTheme="minorHAnsi"/>
          <w:color w:val="000000"/>
          <w:sz w:val="22"/>
          <w:szCs w:val="22"/>
        </w:rPr>
        <w:t xml:space="preserve">Si le Management Participatif se traduit dans les entreprises par des applications assez éloignées les unes des autres, le secteur de la Grande Distribution ne fait exception à cette règle (26, 31). Sa mise en œuvre correspond à plusieurs variantes qui ont été analysées par Sophie </w:t>
      </w:r>
      <w:proofErr w:type="spellStart"/>
      <w:r w:rsidRPr="00F0164A">
        <w:rPr>
          <w:rFonts w:asciiTheme="minorHAnsi" w:hAnsiTheme="minorHAnsi"/>
          <w:color w:val="000000"/>
          <w:sz w:val="22"/>
          <w:szCs w:val="22"/>
        </w:rPr>
        <w:t>Lecorre</w:t>
      </w:r>
      <w:proofErr w:type="spellEnd"/>
      <w:r w:rsidRPr="00F0164A">
        <w:rPr>
          <w:rFonts w:asciiTheme="minorHAnsi" w:hAnsiTheme="minorHAnsi"/>
          <w:color w:val="000000"/>
          <w:sz w:val="22"/>
          <w:szCs w:val="22"/>
        </w:rPr>
        <w:t xml:space="preserve"> (21, 22). Cet auteur a étudié les politiques de Management Participatif (MP) dans 13 entreprises du secteur de la distribution et en a identifié trois variantes. La première qualifiée de « Management Participatif Volontariste » se caractérise par un dispositif participatif peu ancien, de conception basiste et n’arrivant pas à se généraliser, voire à se maintenir, bref, présentant tous les traits d’une greffe difficile à prendre. La participation recherchée n’est pas tant aux décisions qu’à la diffusion d’une bonne image de marque commerciale à destination du client. Une </w:t>
      </w:r>
      <w:proofErr w:type="gramStart"/>
      <w:r w:rsidRPr="00F0164A">
        <w:rPr>
          <w:rFonts w:asciiTheme="minorHAnsi" w:hAnsiTheme="minorHAnsi"/>
          <w:color w:val="000000"/>
          <w:sz w:val="22"/>
          <w:szCs w:val="22"/>
        </w:rPr>
        <w:t>des fonction essentielles</w:t>
      </w:r>
      <w:proofErr w:type="gramEnd"/>
      <w:r w:rsidRPr="00F0164A">
        <w:rPr>
          <w:rFonts w:asciiTheme="minorHAnsi" w:hAnsiTheme="minorHAnsi"/>
          <w:color w:val="000000"/>
          <w:sz w:val="22"/>
          <w:szCs w:val="22"/>
        </w:rPr>
        <w:t xml:space="preserve"> du MP défini comme une idéologie devient celle de repérer qui y adhère ou pas. Le projet d’entreprise joue un rôle fédérateur dans l’entreprise et les cadres en désaccord avec le projet s’en vont. La deuxième, le « Management Participatif Intégré », correspond à un dispositif déjà ancien, assez étendu et articulé à tous les niveaux hiérarchiques. Il se caractérise, dans l’entreprise, par une très forte homogénéité discursive : les arguments utilisés, les démonstrations et explications se retrouvent ou se complètent sans jamais se contredire : les mots et expressions employées sont souvent les mêmes et accentuent l’impression de congruence. Dans ces entreprises, le projet d’entreprise est ancien, il remonte aux origines de l’entreprise ; il s’agit d’un projet de management interne à destination du personnel et non pas d’un projet commercial visant à la fois les salariés et les clients comme c’est souvent le cas dans la distribution.</w:t>
      </w:r>
    </w:p>
    <w:p w:rsidR="00F0164A" w:rsidRPr="00F0164A" w:rsidRDefault="00F0164A" w:rsidP="00F0164A">
      <w:pPr>
        <w:pStyle w:val="texte"/>
        <w:shd w:val="clear" w:color="auto" w:fill="FFFFFF"/>
        <w:spacing w:before="240" w:beforeAutospacing="0" w:after="240" w:afterAutospacing="0"/>
        <w:jc w:val="both"/>
        <w:rPr>
          <w:rFonts w:asciiTheme="minorHAnsi" w:hAnsiTheme="minorHAnsi"/>
          <w:color w:val="000000"/>
          <w:sz w:val="22"/>
          <w:szCs w:val="22"/>
        </w:rPr>
      </w:pPr>
      <w:r w:rsidRPr="00F0164A">
        <w:rPr>
          <w:rStyle w:val="paranumber"/>
          <w:rFonts w:asciiTheme="minorHAnsi" w:eastAsiaTheme="majorEastAsia" w:hAnsiTheme="minorHAnsi"/>
          <w:color w:val="707070"/>
          <w:sz w:val="22"/>
          <w:szCs w:val="22"/>
        </w:rPr>
        <w:t>5</w:t>
      </w:r>
      <w:r w:rsidRPr="00F0164A">
        <w:rPr>
          <w:rFonts w:asciiTheme="minorHAnsi" w:hAnsiTheme="minorHAnsi"/>
          <w:color w:val="000000"/>
          <w:sz w:val="22"/>
          <w:szCs w:val="22"/>
        </w:rPr>
        <w:t xml:space="preserve">La troisième variante est le « Management par les valeurs » caractérisé par une absence de dispositif participatif formel et une indépendance affichée à l’égard des modes managériales. Il correspond à une conception doublement centralisatrice de l’entreprise sur le plan organisationnel (mode de fonctionnement centralisé) et sur le plan idéologique (l’adhésion revêt une connotation religieuse). L’équivalent du projet d’entreprise, puisqu’il s’agit de ne pas utiliser les concepts managériaux diffusés ces dernières années, existe depuis la création de l’entreprise et définit une orientation commerciale axée sur la qualité des produits et </w:t>
      </w:r>
      <w:proofErr w:type="gramStart"/>
      <w:r w:rsidRPr="00F0164A">
        <w:rPr>
          <w:rFonts w:asciiTheme="minorHAnsi" w:hAnsiTheme="minorHAnsi"/>
          <w:color w:val="000000"/>
          <w:sz w:val="22"/>
          <w:szCs w:val="22"/>
        </w:rPr>
        <w:t>des services présentée</w:t>
      </w:r>
      <w:proofErr w:type="gramEnd"/>
      <w:r w:rsidRPr="00F0164A">
        <w:rPr>
          <w:rFonts w:asciiTheme="minorHAnsi" w:hAnsiTheme="minorHAnsi"/>
          <w:color w:val="000000"/>
          <w:sz w:val="22"/>
          <w:szCs w:val="22"/>
        </w:rPr>
        <w:t xml:space="preserve"> comme une option enracinée et invariable pour l’entreprise.</w:t>
      </w:r>
    </w:p>
    <w:p w:rsidR="00F0164A" w:rsidRPr="00F0164A" w:rsidRDefault="00F0164A" w:rsidP="00F0164A">
      <w:pPr>
        <w:pStyle w:val="texte"/>
        <w:shd w:val="clear" w:color="auto" w:fill="FFFFFF"/>
        <w:spacing w:before="240" w:beforeAutospacing="0" w:after="240" w:afterAutospacing="0"/>
        <w:jc w:val="both"/>
        <w:rPr>
          <w:rFonts w:asciiTheme="minorHAnsi" w:hAnsiTheme="minorHAnsi"/>
          <w:color w:val="000000"/>
          <w:sz w:val="22"/>
          <w:szCs w:val="22"/>
        </w:rPr>
      </w:pPr>
      <w:r w:rsidRPr="00F0164A">
        <w:rPr>
          <w:rStyle w:val="paranumber"/>
          <w:rFonts w:asciiTheme="minorHAnsi" w:eastAsiaTheme="majorEastAsia" w:hAnsiTheme="minorHAnsi"/>
          <w:color w:val="707070"/>
          <w:sz w:val="22"/>
          <w:szCs w:val="22"/>
        </w:rPr>
        <w:t>6</w:t>
      </w:r>
      <w:r w:rsidRPr="00F0164A">
        <w:rPr>
          <w:rFonts w:asciiTheme="minorHAnsi" w:hAnsiTheme="minorHAnsi"/>
          <w:color w:val="000000"/>
          <w:sz w:val="22"/>
          <w:szCs w:val="22"/>
        </w:rPr>
        <w:t>Cet article comprend deux parties. La première développe les notions de management par les valeurs et de culture d’entreprise puis présente des outils essentiels de cette nouvelle manière de diriger les organisations : le projet d’entreprise. La deuxième s’intéresse à cette pratique dans un secteur économique bien particulier celui de la Grande Distribution et présente les résultats d’une enquête sur ce thème réalisée dans l’un de ses établissements. Enfin la conclusion aborde les principales dérives que cette pratique devra savoir éviter pour rester crédible en tant qu’outil de gestion.</w:t>
      </w:r>
    </w:p>
    <w:p w:rsidR="00D06CC1" w:rsidRDefault="00D06CC1" w:rsidP="00D06CC1">
      <w:pPr>
        <w:pStyle w:val="Paragraphedeliste"/>
        <w:ind w:left="1800"/>
        <w:jc w:val="both"/>
      </w:pPr>
      <w:bookmarkStart w:id="7" w:name="_GoBack"/>
      <w:bookmarkEnd w:id="7"/>
    </w:p>
    <w:sectPr w:rsidR="00D06CC1" w:rsidSect="00992EC3">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6CC1" w:rsidRDefault="00D06CC1" w:rsidP="00D06CC1">
      <w:pPr>
        <w:spacing w:after="0" w:line="240" w:lineRule="auto"/>
      </w:pPr>
      <w:r>
        <w:separator/>
      </w:r>
    </w:p>
  </w:endnote>
  <w:endnote w:type="continuationSeparator" w:id="0">
    <w:p w:rsidR="00D06CC1" w:rsidRDefault="00D06CC1" w:rsidP="00D06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Regular-webfont">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67123"/>
      <w:docPartObj>
        <w:docPartGallery w:val="Page Numbers (Bottom of Page)"/>
        <w:docPartUnique/>
      </w:docPartObj>
    </w:sdtPr>
    <w:sdtContent>
      <w:p w:rsidR="00D06CC1" w:rsidRDefault="00D06CC1">
        <w:pPr>
          <w:pStyle w:val="Pieddepage"/>
          <w:jc w:val="center"/>
        </w:pPr>
        <w:r>
          <w:fldChar w:fldCharType="begin"/>
        </w:r>
        <w:r>
          <w:instrText>PAGE   \* MERGEFORMAT</w:instrText>
        </w:r>
        <w:r>
          <w:fldChar w:fldCharType="separate"/>
        </w:r>
        <w:r>
          <w:t>2</w:t>
        </w:r>
        <w:r>
          <w:fldChar w:fldCharType="end"/>
        </w:r>
      </w:p>
    </w:sdtContent>
  </w:sdt>
  <w:p w:rsidR="00D06CC1" w:rsidRDefault="00D06C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6CC1" w:rsidRDefault="00D06CC1" w:rsidP="00D06CC1">
      <w:pPr>
        <w:spacing w:after="0" w:line="240" w:lineRule="auto"/>
      </w:pPr>
      <w:r>
        <w:separator/>
      </w:r>
    </w:p>
  </w:footnote>
  <w:footnote w:type="continuationSeparator" w:id="0">
    <w:p w:rsidR="00D06CC1" w:rsidRDefault="00D06CC1" w:rsidP="00D06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10279"/>
    <w:multiLevelType w:val="hybridMultilevel"/>
    <w:tmpl w:val="40403EF8"/>
    <w:lvl w:ilvl="0" w:tplc="FFF4F276">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E0307AD"/>
    <w:multiLevelType w:val="hybridMultilevel"/>
    <w:tmpl w:val="6D7E050A"/>
    <w:lvl w:ilvl="0" w:tplc="1924B8CE">
      <w:start w:val="1"/>
      <w:numFmt w:val="upp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389906CB"/>
    <w:multiLevelType w:val="multilevel"/>
    <w:tmpl w:val="8784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0A6749"/>
    <w:multiLevelType w:val="hybridMultilevel"/>
    <w:tmpl w:val="82FC8A98"/>
    <w:lvl w:ilvl="0" w:tplc="E89A1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EC3"/>
    <w:rsid w:val="001674D6"/>
    <w:rsid w:val="00992EC3"/>
    <w:rsid w:val="00AA670E"/>
    <w:rsid w:val="00D06CC1"/>
    <w:rsid w:val="00F01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020F4F9"/>
  <w15:chartTrackingRefBased/>
  <w15:docId w15:val="{51F7CB41-6E1C-4E20-8C7F-62B09B71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6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06C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D0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2EC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92EC3"/>
    <w:rPr>
      <w:rFonts w:eastAsiaTheme="minorEastAsia"/>
      <w:lang w:eastAsia="fr-FR"/>
    </w:rPr>
  </w:style>
  <w:style w:type="character" w:customStyle="1" w:styleId="Titre1Car">
    <w:name w:val="Titre 1 Car"/>
    <w:basedOn w:val="Policepardfaut"/>
    <w:link w:val="Titre1"/>
    <w:uiPriority w:val="9"/>
    <w:rsid w:val="00AA67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A670E"/>
    <w:pPr>
      <w:outlineLvl w:val="9"/>
    </w:pPr>
    <w:rPr>
      <w:lang w:eastAsia="fr-FR"/>
    </w:rPr>
  </w:style>
  <w:style w:type="paragraph" w:styleId="Paragraphedeliste">
    <w:name w:val="List Paragraph"/>
    <w:basedOn w:val="Normal"/>
    <w:uiPriority w:val="34"/>
    <w:qFormat/>
    <w:rsid w:val="00AA670E"/>
    <w:pPr>
      <w:ind w:left="720"/>
      <w:contextualSpacing/>
    </w:pPr>
  </w:style>
  <w:style w:type="paragraph" w:styleId="NormalWeb">
    <w:name w:val="Normal (Web)"/>
    <w:basedOn w:val="Normal"/>
    <w:uiPriority w:val="99"/>
    <w:semiHidden/>
    <w:unhideWhenUsed/>
    <w:rsid w:val="00AA67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AA670E"/>
    <w:rPr>
      <w:color w:val="0000FF"/>
      <w:u w:val="single"/>
    </w:rPr>
  </w:style>
  <w:style w:type="character" w:styleId="lev">
    <w:name w:val="Strong"/>
    <w:basedOn w:val="Policepardfaut"/>
    <w:uiPriority w:val="22"/>
    <w:qFormat/>
    <w:rsid w:val="00AA670E"/>
    <w:rPr>
      <w:b/>
      <w:bCs/>
    </w:rPr>
  </w:style>
  <w:style w:type="character" w:customStyle="1" w:styleId="hgkelc">
    <w:name w:val="hgkelc"/>
    <w:basedOn w:val="Policepardfaut"/>
    <w:rsid w:val="00AA670E"/>
  </w:style>
  <w:style w:type="character" w:customStyle="1" w:styleId="ft-bold">
    <w:name w:val="ft-bold"/>
    <w:basedOn w:val="Policepardfaut"/>
    <w:rsid w:val="00AA670E"/>
  </w:style>
  <w:style w:type="character" w:customStyle="1" w:styleId="synthesenumber">
    <w:name w:val="synthesenumber"/>
    <w:basedOn w:val="Policepardfaut"/>
    <w:rsid w:val="00AA670E"/>
  </w:style>
  <w:style w:type="character" w:customStyle="1" w:styleId="Titre3Car">
    <w:name w:val="Titre 3 Car"/>
    <w:basedOn w:val="Policepardfaut"/>
    <w:link w:val="Titre3"/>
    <w:uiPriority w:val="9"/>
    <w:semiHidden/>
    <w:rsid w:val="00D06CC1"/>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D06CC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D06CC1"/>
    <w:pPr>
      <w:spacing w:after="100"/>
    </w:pPr>
  </w:style>
  <w:style w:type="paragraph" w:styleId="TM2">
    <w:name w:val="toc 2"/>
    <w:basedOn w:val="Normal"/>
    <w:next w:val="Normal"/>
    <w:autoRedefine/>
    <w:uiPriority w:val="39"/>
    <w:unhideWhenUsed/>
    <w:rsid w:val="00D06CC1"/>
    <w:pPr>
      <w:spacing w:after="100"/>
      <w:ind w:left="220"/>
    </w:pPr>
  </w:style>
  <w:style w:type="paragraph" w:styleId="TM3">
    <w:name w:val="toc 3"/>
    <w:basedOn w:val="Normal"/>
    <w:next w:val="Normal"/>
    <w:autoRedefine/>
    <w:uiPriority w:val="39"/>
    <w:unhideWhenUsed/>
    <w:rsid w:val="00D06CC1"/>
    <w:pPr>
      <w:spacing w:after="100"/>
      <w:ind w:left="440"/>
    </w:pPr>
  </w:style>
  <w:style w:type="paragraph" w:styleId="En-tte">
    <w:name w:val="header"/>
    <w:basedOn w:val="Normal"/>
    <w:link w:val="En-tteCar"/>
    <w:uiPriority w:val="99"/>
    <w:unhideWhenUsed/>
    <w:rsid w:val="00D06CC1"/>
    <w:pPr>
      <w:tabs>
        <w:tab w:val="center" w:pos="4536"/>
        <w:tab w:val="right" w:pos="9072"/>
      </w:tabs>
      <w:spacing w:after="0" w:line="240" w:lineRule="auto"/>
    </w:pPr>
  </w:style>
  <w:style w:type="character" w:customStyle="1" w:styleId="En-tteCar">
    <w:name w:val="En-tête Car"/>
    <w:basedOn w:val="Policepardfaut"/>
    <w:link w:val="En-tte"/>
    <w:uiPriority w:val="99"/>
    <w:rsid w:val="00D06CC1"/>
  </w:style>
  <w:style w:type="paragraph" w:styleId="Pieddepage">
    <w:name w:val="footer"/>
    <w:basedOn w:val="Normal"/>
    <w:link w:val="PieddepageCar"/>
    <w:uiPriority w:val="99"/>
    <w:unhideWhenUsed/>
    <w:rsid w:val="00D06C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6CC1"/>
  </w:style>
  <w:style w:type="paragraph" w:customStyle="1" w:styleId="texte">
    <w:name w:val="texte"/>
    <w:basedOn w:val="Normal"/>
    <w:rsid w:val="00F016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ranumber">
    <w:name w:val="paranumber"/>
    <w:basedOn w:val="Policepardfaut"/>
    <w:rsid w:val="00F0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175934">
      <w:bodyDiv w:val="1"/>
      <w:marLeft w:val="0"/>
      <w:marRight w:val="0"/>
      <w:marTop w:val="0"/>
      <w:marBottom w:val="0"/>
      <w:divBdr>
        <w:top w:val="none" w:sz="0" w:space="0" w:color="auto"/>
        <w:left w:val="none" w:sz="0" w:space="0" w:color="auto"/>
        <w:bottom w:val="none" w:sz="0" w:space="0" w:color="auto"/>
        <w:right w:val="none" w:sz="0" w:space="0" w:color="auto"/>
      </w:divBdr>
    </w:div>
    <w:div w:id="915286828">
      <w:bodyDiv w:val="1"/>
      <w:marLeft w:val="0"/>
      <w:marRight w:val="0"/>
      <w:marTop w:val="0"/>
      <w:marBottom w:val="0"/>
      <w:divBdr>
        <w:top w:val="none" w:sz="0" w:space="0" w:color="auto"/>
        <w:left w:val="none" w:sz="0" w:space="0" w:color="auto"/>
        <w:bottom w:val="none" w:sz="0" w:space="0" w:color="auto"/>
        <w:right w:val="none" w:sz="0" w:space="0" w:color="auto"/>
      </w:divBdr>
    </w:div>
    <w:div w:id="1007513789">
      <w:bodyDiv w:val="1"/>
      <w:marLeft w:val="0"/>
      <w:marRight w:val="0"/>
      <w:marTop w:val="0"/>
      <w:marBottom w:val="0"/>
      <w:divBdr>
        <w:top w:val="none" w:sz="0" w:space="0" w:color="auto"/>
        <w:left w:val="none" w:sz="0" w:space="0" w:color="auto"/>
        <w:bottom w:val="none" w:sz="0" w:space="0" w:color="auto"/>
        <w:right w:val="none" w:sz="0" w:space="0" w:color="auto"/>
      </w:divBdr>
    </w:div>
    <w:div w:id="1030381258">
      <w:bodyDiv w:val="1"/>
      <w:marLeft w:val="0"/>
      <w:marRight w:val="0"/>
      <w:marTop w:val="0"/>
      <w:marBottom w:val="0"/>
      <w:divBdr>
        <w:top w:val="none" w:sz="0" w:space="0" w:color="auto"/>
        <w:left w:val="none" w:sz="0" w:space="0" w:color="auto"/>
        <w:bottom w:val="none" w:sz="0" w:space="0" w:color="auto"/>
        <w:right w:val="none" w:sz="0" w:space="0" w:color="auto"/>
      </w:divBdr>
      <w:divsChild>
        <w:div w:id="12226689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www.societe.com/documents-officiels/landauer-europe-441462033.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societe.com/bilan/landauer-europe-441462033201912311.html" TargetMode="External"/><Relationship Id="rId7" Type="http://schemas.openxmlformats.org/officeDocument/2006/relationships/endnotes" Target="endnotes.xml"/><Relationship Id="rId12" Type="http://schemas.openxmlformats.org/officeDocument/2006/relationships/hyperlink" Target="https://www.asn.fr/" TargetMode="External"/><Relationship Id="rId17" Type="http://schemas.openxmlformats.org/officeDocument/2006/relationships/hyperlink" Target="https://www.societe.com/documents-officiels/landauer-europe-441462033.html" TargetMode="External"/><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www.societe.com/etablissements/landauer-europe-441462033.html" TargetMode="External"/><Relationship Id="rId20" Type="http://schemas.openxmlformats.org/officeDocument/2006/relationships/hyperlink" Target="https://www.societe.com/bilan/landauer-europe-44146203320201231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ndauer-fr.com/equipement/"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ociete.com/bilan/landauer-europe-441462033202012311.html" TargetMode="External"/><Relationship Id="rId23" Type="http://schemas.openxmlformats.org/officeDocument/2006/relationships/hyperlink" Target="https://www.societe.com/bilan/landauer-europe-441462033201912311.html" TargetMode="External"/><Relationship Id="rId28" Type="http://schemas.openxmlformats.org/officeDocument/2006/relationships/theme" Target="theme/theme1.xml"/><Relationship Id="rId10" Type="http://schemas.openxmlformats.org/officeDocument/2006/relationships/hyperlink" Target="https://www.landauer-fr.com/suivi-dosimetrique/" TargetMode="External"/><Relationship Id="rId19" Type="http://schemas.openxmlformats.org/officeDocument/2006/relationships/hyperlink" Target="https://www.societe.com/dirigeants/landauer-europe-441462033.html" TargetMode="External"/><Relationship Id="rId4" Type="http://schemas.openxmlformats.org/officeDocument/2006/relationships/settings" Target="settings.xml"/><Relationship Id="rId9" Type="http://schemas.openxmlformats.org/officeDocument/2006/relationships/hyperlink" Target="https://www.landauer-fr.com/mediatheque/base-de-connaissance/dosimetrie/" TargetMode="External"/><Relationship Id="rId14" Type="http://schemas.openxmlformats.org/officeDocument/2006/relationships/hyperlink" Target="https://www.societe.com/societe/landauer-europe-441462033.html" TargetMode="External"/><Relationship Id="rId22" Type="http://schemas.openxmlformats.org/officeDocument/2006/relationships/hyperlink" Target="https://www.societe.com/bilan/landauer-europe-441462033202012311.html"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TRL-JUVISY\abichou.wif$\ABICHOU%20Wifak%20clien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[ABICHOU Wifak clients.xlsx]ex2!Tableau croisé dynamique2</c:name>
    <c:fmtId val="13"/>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'ex2'!$B$1</c:f>
              <c:strCache>
                <c:ptCount val="1"/>
                <c:pt idx="0">
                  <c:v>Total</c:v>
                </c:pt>
              </c:strCache>
            </c:strRef>
          </c:tx>
          <c:spPr>
            <a:solidFill>
              <a:schemeClr val="accent1"/>
            </a:solidFill>
            <a:ln>
              <a:noFill/>
            </a:ln>
            <a:effectLst/>
          </c:spPr>
          <c:invertIfNegative val="0"/>
          <c:cat>
            <c:multiLvlStrRef>
              <c:f>'ex2'!$A$2:$A$100</c:f>
              <c:multiLvlStrCache>
                <c:ptCount val="51"/>
                <c:lvl>
                  <c:pt idx="0">
                    <c:v>BAZIN</c:v>
                  </c:pt>
                  <c:pt idx="1">
                    <c:v>BAZIN</c:v>
                  </c:pt>
                  <c:pt idx="2">
                    <c:v>PARNOT</c:v>
                  </c:pt>
                  <c:pt idx="3">
                    <c:v>DUJARDIN</c:v>
                  </c:pt>
                  <c:pt idx="4">
                    <c:v>DUJARDIN</c:v>
                  </c:pt>
                  <c:pt idx="5">
                    <c:v>LINAS</c:v>
                  </c:pt>
                  <c:pt idx="6">
                    <c:v>PARNOT</c:v>
                  </c:pt>
                  <c:pt idx="7">
                    <c:v>LINAS</c:v>
                  </c:pt>
                  <c:pt idx="8">
                    <c:v>PARNOT</c:v>
                  </c:pt>
                  <c:pt idx="9">
                    <c:v>DARBOUT</c:v>
                  </c:pt>
                  <c:pt idx="10">
                    <c:v>ZARC</c:v>
                  </c:pt>
                  <c:pt idx="11">
                    <c:v>CALOS</c:v>
                  </c:pt>
                  <c:pt idx="12">
                    <c:v>DARBOUT</c:v>
                  </c:pt>
                  <c:pt idx="13">
                    <c:v>PARNOT</c:v>
                  </c:pt>
                  <c:pt idx="14">
                    <c:v>DUJARDIN</c:v>
                  </c:pt>
                  <c:pt idx="15">
                    <c:v>DARBOUT</c:v>
                  </c:pt>
                  <c:pt idx="16">
                    <c:v>LINAS</c:v>
                  </c:pt>
                  <c:pt idx="17">
                    <c:v>LINAS</c:v>
                  </c:pt>
                  <c:pt idx="18">
                    <c:v>LINAS</c:v>
                  </c:pt>
                  <c:pt idx="19">
                    <c:v>CALOS</c:v>
                  </c:pt>
                  <c:pt idx="20">
                    <c:v>PARNOT</c:v>
                  </c:pt>
                  <c:pt idx="21">
                    <c:v>PARNOT</c:v>
                  </c:pt>
                  <c:pt idx="22">
                    <c:v>BAZIN</c:v>
                  </c:pt>
                  <c:pt idx="23">
                    <c:v>ZARC</c:v>
                  </c:pt>
                  <c:pt idx="24">
                    <c:v>BAZIN</c:v>
                  </c:pt>
                  <c:pt idx="25">
                    <c:v>ZARC</c:v>
                  </c:pt>
                  <c:pt idx="26">
                    <c:v>DUJARDIN</c:v>
                  </c:pt>
                  <c:pt idx="27">
                    <c:v>ZARC</c:v>
                  </c:pt>
                  <c:pt idx="28">
                    <c:v>BAZIN</c:v>
                  </c:pt>
                  <c:pt idx="29">
                    <c:v>ZARC</c:v>
                  </c:pt>
                  <c:pt idx="30">
                    <c:v>DUJARDIN</c:v>
                  </c:pt>
                  <c:pt idx="31">
                    <c:v>DUJARDIN</c:v>
                  </c:pt>
                  <c:pt idx="32">
                    <c:v>PARNOT</c:v>
                  </c:pt>
                  <c:pt idx="33">
                    <c:v>PARNOT</c:v>
                  </c:pt>
                  <c:pt idx="34">
                    <c:v>DUJARDIN</c:v>
                  </c:pt>
                  <c:pt idx="35">
                    <c:v>CALOS</c:v>
                  </c:pt>
                  <c:pt idx="36">
                    <c:v>PARNOT</c:v>
                  </c:pt>
                  <c:pt idx="37">
                    <c:v>LINAS</c:v>
                  </c:pt>
                  <c:pt idx="38">
                    <c:v>CALOS</c:v>
                  </c:pt>
                  <c:pt idx="39">
                    <c:v>DARBOUT</c:v>
                  </c:pt>
                  <c:pt idx="40">
                    <c:v>BAZIN</c:v>
                  </c:pt>
                  <c:pt idx="41">
                    <c:v>CALOS</c:v>
                  </c:pt>
                  <c:pt idx="42">
                    <c:v>CALOS</c:v>
                  </c:pt>
                  <c:pt idx="43">
                    <c:v>DUJARDIN</c:v>
                  </c:pt>
                  <c:pt idx="44">
                    <c:v>CALOS</c:v>
                  </c:pt>
                  <c:pt idx="45">
                    <c:v>ZARC</c:v>
                  </c:pt>
                  <c:pt idx="46">
                    <c:v>DARBOUT</c:v>
                  </c:pt>
                  <c:pt idx="47">
                    <c:v>ZARC</c:v>
                  </c:pt>
                  <c:pt idx="48">
                    <c:v>LINAS</c:v>
                  </c:pt>
                  <c:pt idx="49">
                    <c:v>ZARC</c:v>
                  </c:pt>
                  <c:pt idx="50">
                    <c:v>DUJARDIN</c:v>
                  </c:pt>
                </c:lvl>
                <c:lvl>
                  <c:pt idx="0">
                    <c:v>Albert</c:v>
                  </c:pt>
                  <c:pt idx="1">
                    <c:v>Alfonse</c:v>
                  </c:pt>
                  <c:pt idx="2">
                    <c:v>Angelo</c:v>
                  </c:pt>
                  <c:pt idx="3">
                    <c:v>Averel</c:v>
                  </c:pt>
                  <c:pt idx="4">
                    <c:v>Benjamin</c:v>
                  </c:pt>
                  <c:pt idx="5">
                    <c:v>Carlos</c:v>
                  </c:pt>
                  <c:pt idx="7">
                    <c:v>Celine</c:v>
                  </c:pt>
                  <c:pt idx="8">
                    <c:v>Diana</c:v>
                  </c:pt>
                  <c:pt idx="9">
                    <c:v>Dominique</c:v>
                  </c:pt>
                  <c:pt idx="10">
                    <c:v>Emilie</c:v>
                  </c:pt>
                  <c:pt idx="11">
                    <c:v>Etienne</c:v>
                  </c:pt>
                  <c:pt idx="12">
                    <c:v>Frederic</c:v>
                  </c:pt>
                  <c:pt idx="13">
                    <c:v>Garfield</c:v>
                  </c:pt>
                  <c:pt idx="14">
                    <c:v>Gilles</c:v>
                  </c:pt>
                  <c:pt idx="15">
                    <c:v>Hans</c:v>
                  </c:pt>
                  <c:pt idx="16">
                    <c:v>Jack</c:v>
                  </c:pt>
                  <c:pt idx="17">
                    <c:v>Jacques</c:v>
                  </c:pt>
                  <c:pt idx="18">
                    <c:v>Jaques</c:v>
                  </c:pt>
                  <c:pt idx="19">
                    <c:v>Jean</c:v>
                  </c:pt>
                  <c:pt idx="21">
                    <c:v>Jean-Jaques</c:v>
                  </c:pt>
                  <c:pt idx="22">
                    <c:v>Jeanne</c:v>
                  </c:pt>
                  <c:pt idx="23">
                    <c:v>Jennifer</c:v>
                  </c:pt>
                  <c:pt idx="24">
                    <c:v>John</c:v>
                  </c:pt>
                  <c:pt idx="25">
                    <c:v>Laure</c:v>
                  </c:pt>
                  <c:pt idx="26">
                    <c:v>Laurence</c:v>
                  </c:pt>
                  <c:pt idx="27">
                    <c:v>Luc</c:v>
                  </c:pt>
                  <c:pt idx="28">
                    <c:v>Lucie</c:v>
                  </c:pt>
                  <c:pt idx="29">
                    <c:v>Lucien</c:v>
                  </c:pt>
                  <c:pt idx="30">
                    <c:v>Margelin</c:v>
                  </c:pt>
                  <c:pt idx="31">
                    <c:v>Marie</c:v>
                  </c:pt>
                  <c:pt idx="32">
                    <c:v>Marina</c:v>
                  </c:pt>
                  <c:pt idx="33">
                    <c:v>Martin</c:v>
                  </c:pt>
                  <c:pt idx="34">
                    <c:v>Melanie</c:v>
                  </c:pt>
                  <c:pt idx="35">
                    <c:v>Melisse</c:v>
                  </c:pt>
                  <c:pt idx="36">
                    <c:v>Myriam</c:v>
                  </c:pt>
                  <c:pt idx="37">
                    <c:v>Pierre</c:v>
                  </c:pt>
                  <c:pt idx="38">
                    <c:v>Quentin</c:v>
                  </c:pt>
                  <c:pt idx="39">
                    <c:v>Ramona</c:v>
                  </c:pt>
                  <c:pt idx="40">
                    <c:v>Raphael</c:v>
                  </c:pt>
                  <c:pt idx="42">
                    <c:v>Sonia</c:v>
                  </c:pt>
                  <c:pt idx="43">
                    <c:v>Sophie</c:v>
                  </c:pt>
                  <c:pt idx="44">
                    <c:v>Sylvie</c:v>
                  </c:pt>
                  <c:pt idx="46">
                    <c:v>Thierry</c:v>
                  </c:pt>
                  <c:pt idx="47">
                    <c:v>Thomas</c:v>
                  </c:pt>
                  <c:pt idx="48">
                    <c:v>Vincent</c:v>
                  </c:pt>
                  <c:pt idx="49">
                    <c:v>William</c:v>
                  </c:pt>
                  <c:pt idx="50">
                    <c:v>Yann</c:v>
                  </c:pt>
                </c:lvl>
              </c:multiLvlStrCache>
            </c:multiLvlStrRef>
          </c:cat>
          <c:val>
            <c:numRef>
              <c:f>'ex2'!$B$2:$B$100</c:f>
              <c:numCache>
                <c:formatCode>General</c:formatCode>
                <c:ptCount val="51"/>
                <c:pt idx="0">
                  <c:v>0</c:v>
                </c:pt>
                <c:pt idx="1">
                  <c:v>85.15</c:v>
                </c:pt>
                <c:pt idx="2">
                  <c:v>0</c:v>
                </c:pt>
                <c:pt idx="3">
                  <c:v>119.42</c:v>
                </c:pt>
                <c:pt idx="4">
                  <c:v>179.65</c:v>
                </c:pt>
                <c:pt idx="5">
                  <c:v>0</c:v>
                </c:pt>
                <c:pt idx="6">
                  <c:v>0</c:v>
                </c:pt>
                <c:pt idx="7">
                  <c:v>57.72</c:v>
                </c:pt>
                <c:pt idx="8">
                  <c:v>174.82</c:v>
                </c:pt>
                <c:pt idx="9">
                  <c:v>0</c:v>
                </c:pt>
                <c:pt idx="10">
                  <c:v>31.28</c:v>
                </c:pt>
                <c:pt idx="11">
                  <c:v>0</c:v>
                </c:pt>
                <c:pt idx="12">
                  <c:v>0</c:v>
                </c:pt>
                <c:pt idx="13">
                  <c:v>0</c:v>
                </c:pt>
                <c:pt idx="14">
                  <c:v>0</c:v>
                </c:pt>
                <c:pt idx="15">
                  <c:v>0</c:v>
                </c:pt>
                <c:pt idx="16">
                  <c:v>167.25</c:v>
                </c:pt>
                <c:pt idx="17">
                  <c:v>0</c:v>
                </c:pt>
                <c:pt idx="18">
                  <c:v>35.08</c:v>
                </c:pt>
                <c:pt idx="19">
                  <c:v>0</c:v>
                </c:pt>
                <c:pt idx="20">
                  <c:v>0</c:v>
                </c:pt>
                <c:pt idx="21">
                  <c:v>8.9499999999999993</c:v>
                </c:pt>
                <c:pt idx="22">
                  <c:v>20</c:v>
                </c:pt>
                <c:pt idx="23">
                  <c:v>0</c:v>
                </c:pt>
                <c:pt idx="24">
                  <c:v>0</c:v>
                </c:pt>
                <c:pt idx="25">
                  <c:v>0</c:v>
                </c:pt>
                <c:pt idx="26">
                  <c:v>0</c:v>
                </c:pt>
                <c:pt idx="27">
                  <c:v>0</c:v>
                </c:pt>
                <c:pt idx="28">
                  <c:v>153.6</c:v>
                </c:pt>
                <c:pt idx="29">
                  <c:v>0</c:v>
                </c:pt>
                <c:pt idx="30">
                  <c:v>154.32</c:v>
                </c:pt>
                <c:pt idx="31">
                  <c:v>0</c:v>
                </c:pt>
                <c:pt idx="32">
                  <c:v>0</c:v>
                </c:pt>
                <c:pt idx="33">
                  <c:v>189.15</c:v>
                </c:pt>
                <c:pt idx="34">
                  <c:v>181</c:v>
                </c:pt>
                <c:pt idx="35">
                  <c:v>102.5</c:v>
                </c:pt>
                <c:pt idx="36">
                  <c:v>0</c:v>
                </c:pt>
                <c:pt idx="37">
                  <c:v>39.97</c:v>
                </c:pt>
                <c:pt idx="38">
                  <c:v>0</c:v>
                </c:pt>
                <c:pt idx="39">
                  <c:v>80.25</c:v>
                </c:pt>
                <c:pt idx="40">
                  <c:v>0</c:v>
                </c:pt>
                <c:pt idx="41">
                  <c:v>0</c:v>
                </c:pt>
                <c:pt idx="42">
                  <c:v>0</c:v>
                </c:pt>
                <c:pt idx="43">
                  <c:v>0</c:v>
                </c:pt>
                <c:pt idx="44">
                  <c:v>0</c:v>
                </c:pt>
                <c:pt idx="45">
                  <c:v>144.91999999999999</c:v>
                </c:pt>
                <c:pt idx="46">
                  <c:v>0</c:v>
                </c:pt>
                <c:pt idx="47">
                  <c:v>0</c:v>
                </c:pt>
                <c:pt idx="48">
                  <c:v>0</c:v>
                </c:pt>
                <c:pt idx="49">
                  <c:v>168.3</c:v>
                </c:pt>
                <c:pt idx="50">
                  <c:v>169.3</c:v>
                </c:pt>
              </c:numCache>
            </c:numRef>
          </c:val>
          <c:extLst>
            <c:ext xmlns:c16="http://schemas.microsoft.com/office/drawing/2014/chart" uri="{C3380CC4-5D6E-409C-BE32-E72D297353CC}">
              <c16:uniqueId val="{00000000-00BE-40E3-A765-8196D8C96416}"/>
            </c:ext>
          </c:extLst>
        </c:ser>
        <c:dLbls>
          <c:showLegendKey val="0"/>
          <c:showVal val="0"/>
          <c:showCatName val="0"/>
          <c:showSerName val="0"/>
          <c:showPercent val="0"/>
          <c:showBubbleSize val="0"/>
        </c:dLbls>
        <c:gapWidth val="219"/>
        <c:overlap val="-27"/>
        <c:axId val="27443631"/>
        <c:axId val="30348847"/>
      </c:barChart>
      <c:catAx>
        <c:axId val="27443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348847"/>
        <c:crosses val="autoZero"/>
        <c:auto val="1"/>
        <c:lblAlgn val="ctr"/>
        <c:lblOffset val="100"/>
        <c:noMultiLvlLbl val="0"/>
      </c:catAx>
      <c:valAx>
        <c:axId val="30348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443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6A7DE-732E-4E0A-A000-E052A7B3F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1339</Words>
  <Characters>7367</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LANDAUER</dc:title>
  <dc:subject/>
  <dc:creator>ABICHOU Wifak</dc:creator>
  <cp:keywords/>
  <dc:description/>
  <cp:lastModifiedBy>ABICHOU Wifak</cp:lastModifiedBy>
  <cp:revision>1</cp:revision>
  <dcterms:created xsi:type="dcterms:W3CDTF">2021-12-16T09:05:00Z</dcterms:created>
  <dcterms:modified xsi:type="dcterms:W3CDTF">2021-12-16T09:41:00Z</dcterms:modified>
</cp:coreProperties>
</file>