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2FD4B" w14:textId="2E100435" w:rsidR="0040359F" w:rsidRDefault="0040359F" w:rsidP="0040359F">
      <w:pPr>
        <w:jc w:val="both"/>
      </w:pPr>
      <w:r>
        <w:t xml:space="preserve">Scene </w:t>
      </w:r>
      <w:r>
        <w:t>0</w:t>
      </w:r>
    </w:p>
    <w:p w14:paraId="723BE57C" w14:textId="48491440" w:rsidR="0040359F" w:rsidRDefault="0040359F" w:rsidP="0040359F">
      <w:pPr>
        <w:jc w:val="both"/>
      </w:pPr>
      <w:r>
        <w:t xml:space="preserve">Title: </w:t>
      </w:r>
      <w:r w:rsidR="00620C25">
        <w:t>Anterior Cervical Discectomy and Fusion (ACDF)</w:t>
      </w:r>
    </w:p>
    <w:p w14:paraId="23E25ED9" w14:textId="6968F945" w:rsidR="00A05D8E" w:rsidRDefault="0040359F" w:rsidP="0040359F">
      <w:pPr>
        <w:jc w:val="both"/>
      </w:pPr>
      <w:r>
        <w:t xml:space="preserve">Text: </w:t>
      </w:r>
      <w:r w:rsidR="0038518C" w:rsidRPr="0038518C">
        <w:t>Anterior cervical discectomy and fusion (ACDF) is a spinal surgical procedure that aims to relieve neural compression and stabilize the cervical spine. ACDF consists of three main components: intervertebral disc removal (discectomy), interbody cage implantation, and anterior plate fixation. Compared with posterior cervical decompression and fusion (PCDF), ACDF is performed through an anterior approach, utilizing a small incision in the front of the neck to access the cervical vertebrae. Owing to this surgical approach, ACDF is particularly effective for treating pathologies involving the anterior structures of the cervical spine.</w:t>
      </w:r>
    </w:p>
    <w:p w14:paraId="78EA0F97" w14:textId="77777777" w:rsidR="00C1005C" w:rsidRDefault="00C1005C" w:rsidP="0040359F">
      <w:pPr>
        <w:jc w:val="both"/>
      </w:pPr>
    </w:p>
    <w:p w14:paraId="65C60509" w14:textId="00AC1461" w:rsidR="0040359F" w:rsidRDefault="0040359F" w:rsidP="0040359F">
      <w:pPr>
        <w:jc w:val="both"/>
      </w:pPr>
      <w:r>
        <w:t xml:space="preserve">Scene </w:t>
      </w:r>
      <w:r>
        <w:t>1</w:t>
      </w:r>
    </w:p>
    <w:p w14:paraId="78BC13FD" w14:textId="49FFB441" w:rsidR="0040359F" w:rsidRDefault="0040359F" w:rsidP="0040359F">
      <w:pPr>
        <w:jc w:val="both"/>
      </w:pPr>
      <w:r>
        <w:t xml:space="preserve">Title: Indication for </w:t>
      </w:r>
      <w:r w:rsidR="00AB07F6">
        <w:t>ACDF</w:t>
      </w:r>
    </w:p>
    <w:p w14:paraId="73A10301" w14:textId="77777777" w:rsidR="00FD74E1" w:rsidRDefault="0040359F" w:rsidP="00784546">
      <w:pPr>
        <w:jc w:val="both"/>
      </w:pPr>
      <w:r>
        <w:t xml:space="preserve">Text: </w:t>
      </w:r>
      <w:r w:rsidR="00784546" w:rsidRPr="00784546">
        <w:t xml:space="preserve">ACDF is commonly performed to treat pathologies involving the anterior aspect of the cervical spine. Common indications include: </w:t>
      </w:r>
    </w:p>
    <w:p w14:paraId="0C074F69" w14:textId="77777777" w:rsidR="00FD74E1" w:rsidRDefault="00784546" w:rsidP="00FD74E1">
      <w:pPr>
        <w:pStyle w:val="ListParagraph"/>
        <w:numPr>
          <w:ilvl w:val="0"/>
          <w:numId w:val="3"/>
        </w:numPr>
        <w:jc w:val="both"/>
      </w:pPr>
      <w:r w:rsidRPr="00784546">
        <w:t xml:space="preserve">Cervical radiculopathy caused by cervical disc herniation </w:t>
      </w:r>
    </w:p>
    <w:p w14:paraId="039D3AFD" w14:textId="77777777" w:rsidR="00FD74E1" w:rsidRDefault="00784546" w:rsidP="00FD74E1">
      <w:pPr>
        <w:pStyle w:val="ListParagraph"/>
        <w:numPr>
          <w:ilvl w:val="0"/>
          <w:numId w:val="3"/>
        </w:numPr>
        <w:jc w:val="both"/>
      </w:pPr>
      <w:r w:rsidRPr="00784546">
        <w:t>Cervical myelopathy resulting from anterior spinal cord compression</w:t>
      </w:r>
    </w:p>
    <w:p w14:paraId="3F56331E" w14:textId="77777777" w:rsidR="00FD74E1" w:rsidRDefault="00784546" w:rsidP="00FD74E1">
      <w:pPr>
        <w:pStyle w:val="ListParagraph"/>
        <w:numPr>
          <w:ilvl w:val="0"/>
          <w:numId w:val="3"/>
        </w:numPr>
        <w:jc w:val="both"/>
      </w:pPr>
      <w:r w:rsidRPr="00784546">
        <w:t>Degenerative disc disease</w:t>
      </w:r>
    </w:p>
    <w:p w14:paraId="29A68474" w14:textId="77777777" w:rsidR="00FD74E1" w:rsidRDefault="00784546" w:rsidP="00FD74E1">
      <w:pPr>
        <w:pStyle w:val="ListParagraph"/>
        <w:numPr>
          <w:ilvl w:val="0"/>
          <w:numId w:val="3"/>
        </w:numPr>
        <w:jc w:val="both"/>
      </w:pPr>
      <w:r w:rsidRPr="00784546">
        <w:t>Cervical spondylosis with ventral osteophyte formation</w:t>
      </w:r>
    </w:p>
    <w:p w14:paraId="0E5B81CD" w14:textId="77777777" w:rsidR="00FD74E1" w:rsidRDefault="00784546" w:rsidP="00FD74E1">
      <w:pPr>
        <w:pStyle w:val="ListParagraph"/>
        <w:numPr>
          <w:ilvl w:val="0"/>
          <w:numId w:val="3"/>
        </w:numPr>
        <w:jc w:val="both"/>
      </w:pPr>
      <w:r w:rsidRPr="00784546">
        <w:t xml:space="preserve">Cervical spinal malalignment </w:t>
      </w:r>
    </w:p>
    <w:p w14:paraId="494B6CE8" w14:textId="2ADC7615" w:rsidR="00E24953" w:rsidRDefault="00784546" w:rsidP="00FD74E1">
      <w:pPr>
        <w:jc w:val="both"/>
      </w:pPr>
      <w:r w:rsidRPr="00784546">
        <w:t xml:space="preserve">In this illustration, anterior compression of the spinal cord is demonstrated. Specifically, a C4–C5 disc herniation causing cervical myelopathy is depicted. This represents a typical clinical scenario in which ACDF may be preferred over a posterior approach, as the pathological lesion is localized to the </w:t>
      </w:r>
      <w:r w:rsidR="00403CF9">
        <w:t>front</w:t>
      </w:r>
      <w:r w:rsidRPr="00784546">
        <w:t xml:space="preserve"> portion of the spinal canal, allowing for direct decompression through an anterior surgical corridor.</w:t>
      </w:r>
    </w:p>
    <w:p w14:paraId="2D8B38F1" w14:textId="77777777" w:rsidR="00C1005C" w:rsidRDefault="00C1005C" w:rsidP="00FD74E1">
      <w:pPr>
        <w:jc w:val="both"/>
      </w:pPr>
    </w:p>
    <w:p w14:paraId="5FB023AD" w14:textId="7B9E4C1E" w:rsidR="0040359F" w:rsidRDefault="0040359F" w:rsidP="0040359F">
      <w:pPr>
        <w:jc w:val="both"/>
      </w:pPr>
      <w:r>
        <w:t xml:space="preserve">Scene </w:t>
      </w:r>
      <w:r>
        <w:t>2</w:t>
      </w:r>
    </w:p>
    <w:p w14:paraId="03559B23" w14:textId="127E2EF3" w:rsidR="0040359F" w:rsidRDefault="0040359F" w:rsidP="0040359F">
      <w:pPr>
        <w:jc w:val="both"/>
      </w:pPr>
      <w:r>
        <w:t xml:space="preserve">Title: </w:t>
      </w:r>
      <w:r w:rsidR="0051044C">
        <w:t>Anterior Cervical Discectomy</w:t>
      </w:r>
    </w:p>
    <w:p w14:paraId="062D47CA" w14:textId="07FBEBA2" w:rsidR="0040359F" w:rsidRDefault="0040359F" w:rsidP="0040359F">
      <w:pPr>
        <w:jc w:val="both"/>
      </w:pPr>
      <w:r>
        <w:t>Text</w:t>
      </w:r>
      <w:r w:rsidR="000F7A78">
        <w:t xml:space="preserve">: </w:t>
      </w:r>
      <w:r w:rsidR="000B1D2E" w:rsidRPr="000B1D2E">
        <w:t xml:space="preserve">The first step in ACDF is removing the damaged intervertebral disc, a procedure known as a discectomy. The intervertebral disc is a soft, cushion-like structure located between the bones of the spine. It acts as a shock absorber, helping the spine withstand everyday movements and mechanical stress. When a disc herniates, part of the disc can bulge outward and press on the spinal cord or nearby nerves. This pressure may cause symptoms </w:t>
      </w:r>
      <w:r w:rsidR="000B1D2E" w:rsidRPr="000B1D2E">
        <w:lastRenderedPageBreak/>
        <w:t>such as neck pain, numbness or tingling in the arms and hands, weakness, or difficulty with balance and coordination. By removing the herniated disc, the surgeon can relieve pressure on the spinal cord and nerves, often improving these symptoms. Removing the disc also allows the surgeon to directly access the spinal canal and remove other structures that may be causing compression, such as bone spurs.</w:t>
      </w:r>
    </w:p>
    <w:p w14:paraId="12A3E799" w14:textId="77777777" w:rsidR="00C1005C" w:rsidRDefault="00C1005C" w:rsidP="0040359F">
      <w:pPr>
        <w:jc w:val="both"/>
      </w:pPr>
    </w:p>
    <w:p w14:paraId="1227BB18" w14:textId="2A07AD7E" w:rsidR="0040359F" w:rsidRDefault="0040359F" w:rsidP="0040359F">
      <w:pPr>
        <w:jc w:val="both"/>
      </w:pPr>
      <w:r>
        <w:t xml:space="preserve">Scene </w:t>
      </w:r>
      <w:r>
        <w:t>3</w:t>
      </w:r>
    </w:p>
    <w:p w14:paraId="19414FBA" w14:textId="2984C193" w:rsidR="0040359F" w:rsidRDefault="0040359F" w:rsidP="0040359F">
      <w:pPr>
        <w:jc w:val="both"/>
      </w:pPr>
      <w:r>
        <w:t xml:space="preserve">Title: </w:t>
      </w:r>
      <w:r w:rsidR="00C07F34">
        <w:t>Interbody Cage</w:t>
      </w:r>
    </w:p>
    <w:p w14:paraId="4D2B2E69" w14:textId="77777777" w:rsidR="00D265CA" w:rsidRDefault="0040359F" w:rsidP="00D53655">
      <w:pPr>
        <w:jc w:val="both"/>
      </w:pPr>
      <w:r>
        <w:t xml:space="preserve">Text: </w:t>
      </w:r>
      <w:r w:rsidR="00D53655" w:rsidRPr="00D53655">
        <w:t xml:space="preserve">After the damaged disc is removed, an interbody cage (often called a "spacer") is placed into the empty disc space between the vertebrae. The cage helps maintain the normal height and alignment of the spine while the bones heal and fuse. Interbody cages can be made from a variety of materials, including: </w:t>
      </w:r>
    </w:p>
    <w:p w14:paraId="474CFE8A" w14:textId="77777777" w:rsidR="00D265CA" w:rsidRDefault="00D53655" w:rsidP="00D265CA">
      <w:pPr>
        <w:pStyle w:val="ListParagraph"/>
        <w:numPr>
          <w:ilvl w:val="0"/>
          <w:numId w:val="5"/>
        </w:numPr>
        <w:jc w:val="both"/>
      </w:pPr>
      <w:proofErr w:type="spellStart"/>
      <w:r w:rsidRPr="00D53655">
        <w:t>Polyetheretherketone</w:t>
      </w:r>
      <w:proofErr w:type="spellEnd"/>
      <w:r w:rsidRPr="00D53655">
        <w:t xml:space="preserve"> (PEEK), a durable medical-grade plastic</w:t>
      </w:r>
    </w:p>
    <w:p w14:paraId="4F219DF5" w14:textId="77777777" w:rsidR="00D265CA" w:rsidRDefault="00D53655" w:rsidP="00D265CA">
      <w:pPr>
        <w:pStyle w:val="ListParagraph"/>
        <w:numPr>
          <w:ilvl w:val="0"/>
          <w:numId w:val="5"/>
        </w:numPr>
        <w:jc w:val="both"/>
      </w:pPr>
      <w:r w:rsidRPr="00D53655">
        <w:t>Titanium</w:t>
      </w:r>
    </w:p>
    <w:p w14:paraId="6B23886D" w14:textId="77777777" w:rsidR="00D265CA" w:rsidRDefault="00D53655" w:rsidP="00D265CA">
      <w:pPr>
        <w:pStyle w:val="ListParagraph"/>
        <w:numPr>
          <w:ilvl w:val="0"/>
          <w:numId w:val="5"/>
        </w:numPr>
        <w:jc w:val="both"/>
      </w:pPr>
      <w:r w:rsidRPr="00D53655">
        <w:t>Porous titanium, which is designed to encourage bone growth into the implant</w:t>
      </w:r>
    </w:p>
    <w:p w14:paraId="254AD1F4" w14:textId="6F6E0786" w:rsidR="002247C4" w:rsidRDefault="00D53655" w:rsidP="00D265CA">
      <w:pPr>
        <w:jc w:val="both"/>
      </w:pPr>
      <w:r w:rsidRPr="00D53655">
        <w:t>In some cases, a structural bone graft may be used instead of a synthetic cage. This bone graft may come from a donor (allograft) or from the patient's own body (autograft). Interbody cages and bone grafts are designed to support the fusion process. Over time, new bone grows through or around the implant, joining the adjacent vertebrae into a single, stable bone.</w:t>
      </w:r>
    </w:p>
    <w:p w14:paraId="5F0D75E3" w14:textId="77777777" w:rsidR="00DA532C" w:rsidRDefault="00DA532C" w:rsidP="0040359F">
      <w:pPr>
        <w:jc w:val="both"/>
      </w:pPr>
    </w:p>
    <w:p w14:paraId="7E6B472B" w14:textId="0563C1C6" w:rsidR="0040359F" w:rsidRDefault="0040359F" w:rsidP="0040359F">
      <w:pPr>
        <w:jc w:val="both"/>
      </w:pPr>
      <w:r>
        <w:t xml:space="preserve">Scene </w:t>
      </w:r>
      <w:r>
        <w:t>4</w:t>
      </w:r>
    </w:p>
    <w:p w14:paraId="74964B35" w14:textId="21727A22" w:rsidR="0040359F" w:rsidRDefault="0040359F" w:rsidP="0040359F">
      <w:pPr>
        <w:jc w:val="both"/>
      </w:pPr>
      <w:r>
        <w:t xml:space="preserve">Title: </w:t>
      </w:r>
      <w:r w:rsidR="00F94596">
        <w:t>Interbody Implantation</w:t>
      </w:r>
    </w:p>
    <w:p w14:paraId="7FF1607E" w14:textId="4088AB1B" w:rsidR="0040359F" w:rsidRDefault="0040359F" w:rsidP="0040359F">
      <w:pPr>
        <w:jc w:val="both"/>
      </w:pPr>
      <w:r>
        <w:t xml:space="preserve">Text: </w:t>
      </w:r>
      <w:r w:rsidR="00EF58BC" w:rsidRPr="00EF58BC">
        <w:t>After the damaged disc has been removed, an interbody cage is inserted into the empty disc space between the vertebrae. The cage restores the normal height and alignment of the spine and helps maintain the space needed for the spinal cord and nerves. The cage also provides immediate structural support to the spine. It is designed to withstand the forces placed on the neck during everyday activities while the bones heal. By stabilizing the treated spinal segment, the cage helps prevent abnormal motion that could continue to irritate the spinal cord or nerves while the vertebrae gradually fuse together.</w:t>
      </w:r>
    </w:p>
    <w:p w14:paraId="191EE29E" w14:textId="77777777" w:rsidR="00614708" w:rsidRDefault="00614708" w:rsidP="0040359F">
      <w:pPr>
        <w:jc w:val="both"/>
      </w:pPr>
    </w:p>
    <w:p w14:paraId="6A0FB469" w14:textId="0F733AD8" w:rsidR="0040359F" w:rsidRDefault="0040359F" w:rsidP="0040359F">
      <w:pPr>
        <w:jc w:val="both"/>
      </w:pPr>
      <w:r>
        <w:t xml:space="preserve">Scene </w:t>
      </w:r>
      <w:r>
        <w:t>5</w:t>
      </w:r>
    </w:p>
    <w:p w14:paraId="77891CE6" w14:textId="32D50BB0" w:rsidR="0040359F" w:rsidRDefault="0040359F" w:rsidP="0040359F">
      <w:pPr>
        <w:jc w:val="both"/>
      </w:pPr>
      <w:r>
        <w:t xml:space="preserve">Title: </w:t>
      </w:r>
      <w:r w:rsidR="00471C07">
        <w:t>Anterior Cervical Plate Fixation</w:t>
      </w:r>
    </w:p>
    <w:p w14:paraId="20BADE0A" w14:textId="5314F547" w:rsidR="0014429D" w:rsidRDefault="00116462" w:rsidP="00C01D46">
      <w:pPr>
        <w:jc w:val="both"/>
      </w:pPr>
      <w:r>
        <w:lastRenderedPageBreak/>
        <w:t xml:space="preserve">Text: </w:t>
      </w:r>
      <w:r w:rsidR="00C01D46">
        <w:t>After the interbody cage has been implanted, new bone gradually grows between the adjacent vertebrae, ultimately joining them together in a process known as fusion. This healing process typically takes several months, although the fusion continues to mature over time.</w:t>
      </w:r>
      <w:r w:rsidR="00C01D46">
        <w:t xml:space="preserve"> </w:t>
      </w:r>
      <w:r w:rsidR="00C01D46">
        <w:t>Until the vertebrae have fused into a single solid bone, cervical plate fixation may be performed. During this step, a small metal plate, usually made of titanium or a titanium alloy, is attached to the front of the vertebrae with screws. The plate acts as an internal brace, helping to keep the vertebrae and interbody cage in the correct position while the bones heal.</w:t>
      </w:r>
      <w:r w:rsidR="00C01D46">
        <w:t xml:space="preserve"> </w:t>
      </w:r>
      <w:r w:rsidR="00C01D46">
        <w:t>Depending on the extent of the spinal disorder, the plate may span one or more spinal levels. In most cases, the plate and screws are intended to remain in the body permanently and do not need to be removed after fusion has occurred.</w:t>
      </w:r>
    </w:p>
    <w:p w14:paraId="03AEBEC0" w14:textId="77777777" w:rsidR="00B43AEF" w:rsidRDefault="00B43AEF" w:rsidP="0040359F">
      <w:pPr>
        <w:jc w:val="both"/>
      </w:pPr>
    </w:p>
    <w:p w14:paraId="598E891F" w14:textId="1B109453" w:rsidR="0014429D" w:rsidRDefault="0014429D" w:rsidP="0040359F">
      <w:pPr>
        <w:jc w:val="both"/>
      </w:pPr>
      <w:r>
        <w:t>Scene 6</w:t>
      </w:r>
    </w:p>
    <w:p w14:paraId="3A76D40E" w14:textId="51E9FCEB" w:rsidR="0014429D" w:rsidRDefault="0014429D" w:rsidP="0014429D">
      <w:pPr>
        <w:jc w:val="both"/>
      </w:pPr>
      <w:r>
        <w:t xml:space="preserve">Title: </w:t>
      </w:r>
      <w:r w:rsidR="004D085C">
        <w:t>Overview</w:t>
      </w:r>
    </w:p>
    <w:p w14:paraId="7FB714D4" w14:textId="77777777" w:rsidR="0027603C" w:rsidRDefault="0014429D" w:rsidP="007C23D7">
      <w:pPr>
        <w:jc w:val="both"/>
      </w:pPr>
      <w:r>
        <w:t xml:space="preserve">Text: </w:t>
      </w:r>
      <w:r w:rsidR="007C23D7" w:rsidRPr="007C23D7">
        <w:t>Some of the key features of ACDF are as follows:</w:t>
      </w:r>
    </w:p>
    <w:p w14:paraId="1A3B3E01" w14:textId="77777777" w:rsidR="0027603C" w:rsidRDefault="007C23D7" w:rsidP="0027603C">
      <w:pPr>
        <w:pStyle w:val="ListParagraph"/>
        <w:numPr>
          <w:ilvl w:val="0"/>
          <w:numId w:val="8"/>
        </w:numPr>
        <w:jc w:val="both"/>
      </w:pPr>
      <w:r w:rsidRPr="007C23D7">
        <w:t>It consists of three main steps: cervical discectomy, interbody cage implantation, and anterior plate fixation.</w:t>
      </w:r>
    </w:p>
    <w:p w14:paraId="26EBC988" w14:textId="77777777" w:rsidR="0027603C" w:rsidRDefault="007C23D7" w:rsidP="0027603C">
      <w:pPr>
        <w:pStyle w:val="ListParagraph"/>
        <w:numPr>
          <w:ilvl w:val="0"/>
          <w:numId w:val="8"/>
        </w:numPr>
        <w:jc w:val="both"/>
      </w:pPr>
      <w:r w:rsidRPr="007C23D7">
        <w:t>It is highly effective in treating disorders affecting the front (anterior) portion of the cervical spine.</w:t>
      </w:r>
    </w:p>
    <w:p w14:paraId="2D666B29" w14:textId="77777777" w:rsidR="0027603C" w:rsidRDefault="007C23D7" w:rsidP="0027603C">
      <w:pPr>
        <w:pStyle w:val="ListParagraph"/>
        <w:numPr>
          <w:ilvl w:val="0"/>
          <w:numId w:val="8"/>
        </w:numPr>
        <w:jc w:val="both"/>
      </w:pPr>
      <w:r w:rsidRPr="007C23D7">
        <w:t>It uses an interbody cage and bone graft material to promote fusion between adjacent vertebrae.</w:t>
      </w:r>
    </w:p>
    <w:p w14:paraId="599C8D6F" w14:textId="77777777" w:rsidR="0027603C" w:rsidRDefault="007C23D7" w:rsidP="0027603C">
      <w:pPr>
        <w:pStyle w:val="ListParagraph"/>
        <w:numPr>
          <w:ilvl w:val="0"/>
          <w:numId w:val="8"/>
        </w:numPr>
        <w:jc w:val="both"/>
      </w:pPr>
      <w:r w:rsidRPr="007C23D7">
        <w:t xml:space="preserve">The plate and screws are typically intended to remain in place permanently, even after bone fusion has occurred. </w:t>
      </w:r>
    </w:p>
    <w:p w14:paraId="6EE470BB" w14:textId="5896DEA1" w:rsidR="0053637B" w:rsidRDefault="007C23D7" w:rsidP="008F7023">
      <w:pPr>
        <w:jc w:val="both"/>
      </w:pPr>
      <w:r w:rsidRPr="007C23D7">
        <w:t xml:space="preserve">Owing to these advantages, ACDF remains one of the </w:t>
      </w:r>
      <w:proofErr w:type="gramStart"/>
      <w:r w:rsidRPr="007C23D7">
        <w:t>most commonly performed</w:t>
      </w:r>
      <w:proofErr w:type="gramEnd"/>
      <w:r w:rsidRPr="007C23D7">
        <w:t xml:space="preserve"> proced</w:t>
      </w:r>
      <w:r w:rsidR="00DF77F6">
        <w:t>ure</w:t>
      </w:r>
      <w:r w:rsidR="00E7660A">
        <w:t>s</w:t>
      </w:r>
      <w:r w:rsidR="00DF77F6">
        <w:t xml:space="preserve"> </w:t>
      </w:r>
      <w:r w:rsidRPr="007C23D7">
        <w:t>for relieving pressure on the spinal cord and nerves while providing long-term stability to the cervical spine.</w:t>
      </w:r>
    </w:p>
    <w:sectPr w:rsidR="0053637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05D18"/>
    <w:multiLevelType w:val="hybridMultilevel"/>
    <w:tmpl w:val="67882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FD56D9"/>
    <w:multiLevelType w:val="hybridMultilevel"/>
    <w:tmpl w:val="139205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48E5F8C"/>
    <w:multiLevelType w:val="hybridMultilevel"/>
    <w:tmpl w:val="A22CE4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9261DA2"/>
    <w:multiLevelType w:val="hybridMultilevel"/>
    <w:tmpl w:val="17EE519E"/>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4" w15:restartNumberingAfterBreak="0">
    <w:nsid w:val="6A244621"/>
    <w:multiLevelType w:val="hybridMultilevel"/>
    <w:tmpl w:val="2244E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23518AC"/>
    <w:multiLevelType w:val="hybridMultilevel"/>
    <w:tmpl w:val="708C1E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5660BE0"/>
    <w:multiLevelType w:val="hybridMultilevel"/>
    <w:tmpl w:val="900C9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B4E2496"/>
    <w:multiLevelType w:val="hybridMultilevel"/>
    <w:tmpl w:val="8AD20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561141">
    <w:abstractNumId w:val="2"/>
  </w:num>
  <w:num w:numId="2" w16cid:durableId="1863320266">
    <w:abstractNumId w:val="3"/>
  </w:num>
  <w:num w:numId="3" w16cid:durableId="316809454">
    <w:abstractNumId w:val="6"/>
  </w:num>
  <w:num w:numId="4" w16cid:durableId="1151362114">
    <w:abstractNumId w:val="7"/>
  </w:num>
  <w:num w:numId="5" w16cid:durableId="1065419881">
    <w:abstractNumId w:val="5"/>
  </w:num>
  <w:num w:numId="6" w16cid:durableId="1511722712">
    <w:abstractNumId w:val="1"/>
  </w:num>
  <w:num w:numId="7" w16cid:durableId="1060009700">
    <w:abstractNumId w:val="4"/>
  </w:num>
  <w:num w:numId="8" w16cid:durableId="20702212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32D"/>
    <w:rsid w:val="0001081F"/>
    <w:rsid w:val="0001691F"/>
    <w:rsid w:val="00065343"/>
    <w:rsid w:val="000B1D2E"/>
    <w:rsid w:val="000B2EA2"/>
    <w:rsid w:val="000E2A3E"/>
    <w:rsid w:val="000F171C"/>
    <w:rsid w:val="000F332D"/>
    <w:rsid w:val="000F7A78"/>
    <w:rsid w:val="001027A1"/>
    <w:rsid w:val="00116462"/>
    <w:rsid w:val="00125C9F"/>
    <w:rsid w:val="00140563"/>
    <w:rsid w:val="0014429D"/>
    <w:rsid w:val="00173EFB"/>
    <w:rsid w:val="001C6D28"/>
    <w:rsid w:val="001D1703"/>
    <w:rsid w:val="001D6223"/>
    <w:rsid w:val="0021618B"/>
    <w:rsid w:val="0022439D"/>
    <w:rsid w:val="002247C4"/>
    <w:rsid w:val="002343DE"/>
    <w:rsid w:val="002411EE"/>
    <w:rsid w:val="00247773"/>
    <w:rsid w:val="002601B3"/>
    <w:rsid w:val="002735E5"/>
    <w:rsid w:val="0027603C"/>
    <w:rsid w:val="002C5454"/>
    <w:rsid w:val="002C6EC4"/>
    <w:rsid w:val="002D33E7"/>
    <w:rsid w:val="002E2D55"/>
    <w:rsid w:val="00325458"/>
    <w:rsid w:val="00326193"/>
    <w:rsid w:val="0032782B"/>
    <w:rsid w:val="003301DD"/>
    <w:rsid w:val="0038518C"/>
    <w:rsid w:val="0039690D"/>
    <w:rsid w:val="00397646"/>
    <w:rsid w:val="003A0817"/>
    <w:rsid w:val="003A092D"/>
    <w:rsid w:val="003F0951"/>
    <w:rsid w:val="003F7AC4"/>
    <w:rsid w:val="00402E48"/>
    <w:rsid w:val="0040359F"/>
    <w:rsid w:val="00403CF9"/>
    <w:rsid w:val="00421BB7"/>
    <w:rsid w:val="004238F6"/>
    <w:rsid w:val="004242AF"/>
    <w:rsid w:val="00424CF3"/>
    <w:rsid w:val="0042787D"/>
    <w:rsid w:val="0044182F"/>
    <w:rsid w:val="00471C07"/>
    <w:rsid w:val="004B0E75"/>
    <w:rsid w:val="004D085C"/>
    <w:rsid w:val="004E1CEF"/>
    <w:rsid w:val="004F35C0"/>
    <w:rsid w:val="0051044C"/>
    <w:rsid w:val="0053637B"/>
    <w:rsid w:val="00564E1D"/>
    <w:rsid w:val="005C6C7E"/>
    <w:rsid w:val="005F519E"/>
    <w:rsid w:val="00614708"/>
    <w:rsid w:val="00620C25"/>
    <w:rsid w:val="00624B7B"/>
    <w:rsid w:val="00641C8A"/>
    <w:rsid w:val="006439DC"/>
    <w:rsid w:val="00653C95"/>
    <w:rsid w:val="006771B8"/>
    <w:rsid w:val="0068508B"/>
    <w:rsid w:val="006B563D"/>
    <w:rsid w:val="006B7EAF"/>
    <w:rsid w:val="006C6680"/>
    <w:rsid w:val="00725287"/>
    <w:rsid w:val="00730833"/>
    <w:rsid w:val="00784546"/>
    <w:rsid w:val="007914F8"/>
    <w:rsid w:val="0079698C"/>
    <w:rsid w:val="007A71B3"/>
    <w:rsid w:val="007C23D7"/>
    <w:rsid w:val="00827A15"/>
    <w:rsid w:val="00870CFD"/>
    <w:rsid w:val="008969AB"/>
    <w:rsid w:val="008D1084"/>
    <w:rsid w:val="008E215A"/>
    <w:rsid w:val="008F1A5A"/>
    <w:rsid w:val="008F7023"/>
    <w:rsid w:val="0090764C"/>
    <w:rsid w:val="00911707"/>
    <w:rsid w:val="00913F57"/>
    <w:rsid w:val="009763D1"/>
    <w:rsid w:val="009C4354"/>
    <w:rsid w:val="009D396B"/>
    <w:rsid w:val="00A01D98"/>
    <w:rsid w:val="00A05D8E"/>
    <w:rsid w:val="00A20105"/>
    <w:rsid w:val="00A2491D"/>
    <w:rsid w:val="00A3707E"/>
    <w:rsid w:val="00A51328"/>
    <w:rsid w:val="00A60033"/>
    <w:rsid w:val="00A662B3"/>
    <w:rsid w:val="00A72027"/>
    <w:rsid w:val="00A75F66"/>
    <w:rsid w:val="00A835BF"/>
    <w:rsid w:val="00AA3C81"/>
    <w:rsid w:val="00AB07F6"/>
    <w:rsid w:val="00AC0C01"/>
    <w:rsid w:val="00AC1FC0"/>
    <w:rsid w:val="00AD27FB"/>
    <w:rsid w:val="00AD2F20"/>
    <w:rsid w:val="00AF783E"/>
    <w:rsid w:val="00B16519"/>
    <w:rsid w:val="00B352A9"/>
    <w:rsid w:val="00B41FAA"/>
    <w:rsid w:val="00B43AEF"/>
    <w:rsid w:val="00B75CBD"/>
    <w:rsid w:val="00B80420"/>
    <w:rsid w:val="00B86770"/>
    <w:rsid w:val="00B87521"/>
    <w:rsid w:val="00BA0BEB"/>
    <w:rsid w:val="00BB1358"/>
    <w:rsid w:val="00BD6C5B"/>
    <w:rsid w:val="00BF61F3"/>
    <w:rsid w:val="00BF6BBD"/>
    <w:rsid w:val="00C01D46"/>
    <w:rsid w:val="00C05C82"/>
    <w:rsid w:val="00C07F34"/>
    <w:rsid w:val="00C1005C"/>
    <w:rsid w:val="00C137A0"/>
    <w:rsid w:val="00C27E7E"/>
    <w:rsid w:val="00C42FC4"/>
    <w:rsid w:val="00C57BAD"/>
    <w:rsid w:val="00C6429A"/>
    <w:rsid w:val="00C67C73"/>
    <w:rsid w:val="00CA41DE"/>
    <w:rsid w:val="00CB0849"/>
    <w:rsid w:val="00CD7652"/>
    <w:rsid w:val="00CE1792"/>
    <w:rsid w:val="00CF0B88"/>
    <w:rsid w:val="00D23111"/>
    <w:rsid w:val="00D2354D"/>
    <w:rsid w:val="00D265CA"/>
    <w:rsid w:val="00D31B31"/>
    <w:rsid w:val="00D44AAD"/>
    <w:rsid w:val="00D53655"/>
    <w:rsid w:val="00D74436"/>
    <w:rsid w:val="00DA15B5"/>
    <w:rsid w:val="00DA532C"/>
    <w:rsid w:val="00DB0086"/>
    <w:rsid w:val="00DC201D"/>
    <w:rsid w:val="00DC5362"/>
    <w:rsid w:val="00DE5CB1"/>
    <w:rsid w:val="00DF77F6"/>
    <w:rsid w:val="00E216F3"/>
    <w:rsid w:val="00E2172A"/>
    <w:rsid w:val="00E22A9D"/>
    <w:rsid w:val="00E24953"/>
    <w:rsid w:val="00E42608"/>
    <w:rsid w:val="00E5387A"/>
    <w:rsid w:val="00E615C0"/>
    <w:rsid w:val="00E7660A"/>
    <w:rsid w:val="00EA510E"/>
    <w:rsid w:val="00ED2D4A"/>
    <w:rsid w:val="00EE43E0"/>
    <w:rsid w:val="00EE5B0E"/>
    <w:rsid w:val="00EF58BC"/>
    <w:rsid w:val="00F01E94"/>
    <w:rsid w:val="00F02A1E"/>
    <w:rsid w:val="00F06FB9"/>
    <w:rsid w:val="00F710D7"/>
    <w:rsid w:val="00F94596"/>
    <w:rsid w:val="00FA3D93"/>
    <w:rsid w:val="00FA5514"/>
    <w:rsid w:val="00FB0C48"/>
    <w:rsid w:val="00FC0EB1"/>
    <w:rsid w:val="00FD74E1"/>
    <w:rsid w:val="00FE0671"/>
    <w:rsid w:val="00FE26A7"/>
    <w:rsid w:val="00FE5A32"/>
    <w:rsid w:val="00FE6CB5"/>
    <w:rsid w:val="00FF353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4B573681"/>
  <w15:chartTrackingRefBased/>
  <w15:docId w15:val="{31EB799E-A207-9D45-A74F-7B35C29FA9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359F"/>
  </w:style>
  <w:style w:type="paragraph" w:styleId="Heading1">
    <w:name w:val="heading 1"/>
    <w:basedOn w:val="Normal"/>
    <w:next w:val="Normal"/>
    <w:link w:val="Heading1Char"/>
    <w:uiPriority w:val="9"/>
    <w:qFormat/>
    <w:rsid w:val="000F33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33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33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33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33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33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33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33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33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33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F33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F33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33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33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33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33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33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332D"/>
    <w:rPr>
      <w:rFonts w:eastAsiaTheme="majorEastAsia" w:cstheme="majorBidi"/>
      <w:color w:val="272727" w:themeColor="text1" w:themeTint="D8"/>
    </w:rPr>
  </w:style>
  <w:style w:type="paragraph" w:styleId="Title">
    <w:name w:val="Title"/>
    <w:basedOn w:val="Normal"/>
    <w:next w:val="Normal"/>
    <w:link w:val="TitleChar"/>
    <w:uiPriority w:val="10"/>
    <w:qFormat/>
    <w:rsid w:val="000F33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33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33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33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332D"/>
    <w:pPr>
      <w:spacing w:before="160"/>
      <w:jc w:val="center"/>
    </w:pPr>
    <w:rPr>
      <w:i/>
      <w:iCs/>
      <w:color w:val="404040" w:themeColor="text1" w:themeTint="BF"/>
    </w:rPr>
  </w:style>
  <w:style w:type="character" w:customStyle="1" w:styleId="QuoteChar">
    <w:name w:val="Quote Char"/>
    <w:basedOn w:val="DefaultParagraphFont"/>
    <w:link w:val="Quote"/>
    <w:uiPriority w:val="29"/>
    <w:rsid w:val="000F332D"/>
    <w:rPr>
      <w:i/>
      <w:iCs/>
      <w:color w:val="404040" w:themeColor="text1" w:themeTint="BF"/>
    </w:rPr>
  </w:style>
  <w:style w:type="paragraph" w:styleId="ListParagraph">
    <w:name w:val="List Paragraph"/>
    <w:basedOn w:val="Normal"/>
    <w:uiPriority w:val="34"/>
    <w:qFormat/>
    <w:rsid w:val="000F332D"/>
    <w:pPr>
      <w:ind w:left="720"/>
      <w:contextualSpacing/>
    </w:pPr>
  </w:style>
  <w:style w:type="character" w:styleId="IntenseEmphasis">
    <w:name w:val="Intense Emphasis"/>
    <w:basedOn w:val="DefaultParagraphFont"/>
    <w:uiPriority w:val="21"/>
    <w:qFormat/>
    <w:rsid w:val="000F332D"/>
    <w:rPr>
      <w:i/>
      <w:iCs/>
      <w:color w:val="0F4761" w:themeColor="accent1" w:themeShade="BF"/>
    </w:rPr>
  </w:style>
  <w:style w:type="paragraph" w:styleId="IntenseQuote">
    <w:name w:val="Intense Quote"/>
    <w:basedOn w:val="Normal"/>
    <w:next w:val="Normal"/>
    <w:link w:val="IntenseQuoteChar"/>
    <w:uiPriority w:val="30"/>
    <w:qFormat/>
    <w:rsid w:val="000F33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332D"/>
    <w:rPr>
      <w:i/>
      <w:iCs/>
      <w:color w:val="0F4761" w:themeColor="accent1" w:themeShade="BF"/>
    </w:rPr>
  </w:style>
  <w:style w:type="character" w:styleId="IntenseReference">
    <w:name w:val="Intense Reference"/>
    <w:basedOn w:val="DefaultParagraphFont"/>
    <w:uiPriority w:val="32"/>
    <w:qFormat/>
    <w:rsid w:val="000F332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3</Pages>
  <Words>805</Words>
  <Characters>4767</Characters>
  <Application>Microsoft Office Word</Application>
  <DocSecurity>0</DocSecurity>
  <Lines>80</Lines>
  <Paragraphs>33</Paragraphs>
  <ScaleCrop>false</ScaleCrop>
  <Company/>
  <LinksUpToDate>false</LinksUpToDate>
  <CharactersWithSpaces>5539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卓也 今田</dc:creator>
  <cp:keywords/>
  <dc:description/>
  <cp:lastModifiedBy>卓也 今田</cp:lastModifiedBy>
  <cp:revision>176</cp:revision>
  <dcterms:created xsi:type="dcterms:W3CDTF">2026-05-30T11:00:00Z</dcterms:created>
  <dcterms:modified xsi:type="dcterms:W3CDTF">2026-05-30T12:44:00Z</dcterms:modified>
</cp:coreProperties>
</file>