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r>
        <w:t xml:space="preserve"/>
      </w:r>
    </w:p>
    <w:p>
      <w:pPr>
        <w:spacing w:after="80" w:before="0"/>
        <w:jc w:val="center"/>
      </w:pPr>
      <w:r>
        <w:rPr>
          <w:rFonts w:ascii="Malgun Gothic" w:cs="Malgun Gothic" w:eastAsia="Malgun Gothic" w:hAnsi="Malgun Gothic"/>
          <w:b/>
          <w:bCs/>
          <w:color w:val="1B4F72"/>
          <w:sz w:val="40"/>
          <w:szCs w:val="40"/>
        </w:rPr>
        <w:t xml:space="preserve">2025년 상반기 현장설문 결과보고서</w:t>
      </w:r>
    </w:p>
    <w:p>
      <w:pPr>
        <w:spacing w:after="200" w:before="0"/>
        <w:jc w:val="center"/>
      </w:pPr>
      <w:r>
        <w:rPr>
          <w:rFonts w:ascii="Malgun Gothic" w:cs="Malgun Gothic" w:eastAsia="Malgun Gothic" w:hAnsi="Malgun Gothic"/>
          <w:b/>
          <w:bCs/>
          <w:color w:val="2E5C8A"/>
          <w:sz w:val="36"/>
          <w:szCs w:val="36"/>
        </w:rPr>
        <w:t xml:space="preserve">J07 실무협의회</w:t>
      </w:r>
    </w:p>
    <w:p>
      <w:pPr>
        <w:spacing w:after="60" w:before="0"/>
        <w:jc w:val="center"/>
      </w:pPr>
      <w:r>
        <w:rPr>
          <w:rFonts w:ascii="Malgun Gothic" w:cs="Malgun Gothic" w:eastAsia="Malgun Gothic" w:hAnsi="Malgun Gothic"/>
          <w:i/>
          <w:iCs/>
          <w:color w:val="1B4F72"/>
          <w:sz w:val="26"/>
          <w:szCs w:val="26"/>
        </w:rPr>
        <w:t xml:space="preserve">─ 운영 2요소(내용·형식) 균형 분석 ─</w:t>
      </w:r>
    </w:p>
    <w:p>
      <w:pPr>
        <w:spacing w:after="300" w:before="0"/>
      </w:pPr>
      <w:r>
        <w:t xml:space="preserve"/>
      </w:r>
    </w:p>
    <w:p>
      <w:pPr>
        <w:spacing w:after="80" w:before="0"/>
        <w:jc w:val="center"/>
      </w:pPr>
      <w:r>
        <w:rPr>
          <w:rFonts w:ascii="Malgun Gothic" w:cs="Malgun Gothic" w:eastAsia="Malgun Gothic" w:hAnsi="Malgun Gothic"/>
          <w:color w:val="444444"/>
          <w:sz w:val="22"/>
          <w:szCs w:val="22"/>
        </w:rPr>
        <w:t xml:space="preserve">경상남도사회서비스원 노인맞춤돌봄서비스 광역지원기관</w:t>
      </w:r>
    </w:p>
    <w:p>
      <w:pPr>
        <w:spacing w:after="0" w:before="0"/>
        <w:jc w:val="center"/>
      </w:pPr>
      <w:r>
        <w:rPr>
          <w:rFonts w:ascii="Malgun Gothic" w:cs="Malgun Gothic" w:eastAsia="Malgun Gothic" w:hAnsi="Malgun Gothic"/>
          <w:color w:val="444444"/>
          <w:sz w:val="22"/>
          <w:szCs w:val="22"/>
        </w:rPr>
        <w:t xml:space="preserve">2026년 4월</w:t>
      </w:r>
    </w:p>
    <w:p>
      <w:pPr>
        <w:spacing w:after="1200" w:before="0"/>
      </w:pPr>
      <w:r>
        <w:t xml:space="preserve"/>
      </w:r>
    </w:p>
    <w:p>
      <w:pPr>
        <w:pBdr>
          <w:bottom w:val="single" w:color="2E5C8A" w:sz="8" w:space="4"/>
        </w:pBdr>
        <w:spacing w:after="180" w:before="400"/>
        <w:jc w:val="left"/>
      </w:pPr>
      <w:r>
        <w:rPr>
          <w:rFonts w:ascii="Malgun Gothic" w:cs="Malgun Gothic" w:eastAsia="Malgun Gothic" w:hAnsi="Malgun Gothic"/>
          <w:b/>
          <w:bCs/>
          <w:color w:val="1B4F72"/>
          <w:sz w:val="30"/>
          <w:szCs w:val="30"/>
        </w:rPr>
        <w:t xml:space="preserve">I. 조사 개요</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항목</w:t>
            </w:r>
          </w:p>
        </w:tc>
        <w:tc>
          <w:tcPr>
            <w:tcW w:type="dxa" w:w="64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내용</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조사명</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2025년 상반기 J07 실무협의회 현장설문</w:t>
            </w:r>
          </w:p>
        </w:tc>
      </w:tr>
      <w:tr>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조사 대상</w:t>
            </w:r>
          </w:p>
        </w:tc>
        <w:tc>
          <w:tcPr>
            <w:tcW w:type="dxa" w:w="6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경남 59개 수행기관 소속 전담사회복지사 및 생활지원사 대표</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조사 기간</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2025년 6월 23일 ~ 7월 4일</w:t>
            </w:r>
          </w:p>
        </w:tc>
      </w:tr>
      <w:tr>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조사 방법</w:t>
            </w:r>
          </w:p>
        </w:tc>
        <w:tc>
          <w:tcPr>
            <w:tcW w:type="dxa" w:w="6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협의회 종료 후 자기기입식 설문지 (5점 리커트 + 주관식)</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유효 응답 수</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87명 (배포 93부, 응답률 93.5%)</w:t>
            </w:r>
          </w:p>
        </w:tc>
      </w:tr>
      <w:tr>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분석 방법</w:t>
            </w:r>
          </w:p>
        </w:tc>
        <w:tc>
          <w:tcPr>
            <w:tcW w:type="dxa" w:w="6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빈도분석, 2요소 균형 비교, 기관 규모별 교차분석, 주관식 내용분석</w:t>
            </w:r>
          </w:p>
        </w:tc>
      </w:tr>
    </w:tbl>
    <w:p>
      <w:pPr>
        <w:spacing w:after="400" w:before="0"/>
      </w:pPr>
      <w:r>
        <w:t xml:space="preserve"/>
      </w:r>
    </w:p>
    <w:p>
      <w:pPr>
        <w:pBdr>
          <w:bottom w:val="single" w:color="2E5C8A" w:sz="8" w:space="4"/>
        </w:pBdr>
        <w:spacing w:after="180" w:before="400"/>
        <w:jc w:val="left"/>
      </w:pPr>
      <w:r>
        <w:rPr>
          <w:rFonts w:ascii="Malgun Gothic" w:cs="Malgun Gothic" w:eastAsia="Malgun Gothic" w:hAnsi="Malgun Gothic"/>
          <w:b/>
          <w:bCs/>
          <w:color w:val="1B4F72"/>
          <w:sz w:val="30"/>
          <w:szCs w:val="30"/>
        </w:rPr>
        <w:t xml:space="preserve">II. 이 사업의 분석 관점</w:t>
      </w:r>
    </w:p>
    <w:p>
      <w:pPr>
        <w:pBdr>
          <w:left w:val="thick" w:color="2E5C8A" w:sz="12" w:space="10"/>
        </w:pBdr>
        <w:shd w:fill="EBF5FB" w:val="clear"/>
        <w:spacing w:after="120" w:before="120"/>
        <w:ind w:left="300"/>
        <w:jc w:val="left"/>
      </w:pPr>
      <w:r>
        <w:rPr>
          <w:rFonts w:ascii="Malgun Gothic" w:cs="Malgun Gothic" w:eastAsia="Malgun Gothic" w:hAnsi="Malgun Gothic"/>
          <w:b/>
          <w:bCs/>
          <w:sz w:val="22"/>
          <w:szCs w:val="22"/>
        </w:rPr>
        <w:t xml:space="preserve">◎ 핵심 질문: 실무협의회 운영에서 내용 요소(협의 충실성·정보 공유)와 형식 요소(운영 방식·참여도)가 균형 있게 충족되고 있는가?</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
실무협의회는 수행기관 담당자들이 현장 이슈를 공유하고 문제 해결 방안을 협의하는 핵심 소통 채널이다.</w:t>
      </w:r>
      <w:r>
        <w:rPr>
          <w:rFonts w:ascii="Malgun Gothic" w:cs="Malgun Gothic" w:eastAsia="Malgun Gothic" w:hAnsi="Malgun Gothic"/>
          <w:b w:val="false"/>
          <w:bCs w:val="false"/>
          <w:sz w:val="22"/>
          <w:szCs w:val="22"/>
        </w:rPr>
        <w:t xml:space="preserve">
본 분석에서는 운영의 두 축인 내용 요소(무엇을 다루었는가)와 형식 요소(어떻게 운영하였는가)를 분리하여 균형 달성도를 측정한다.</w:t>
      </w:r>
      <w:r>
        <w:rPr>
          <w:rFonts w:ascii="Malgun Gothic" w:cs="Malgun Gothic" w:eastAsia="Malgun Gothic" w:hAnsi="Malgun Gothic"/>
          <w:b w:val="false"/>
          <w:bCs w:val="false"/>
          <w:sz w:val="22"/>
          <w:szCs w:val="22"/>
        </w:rPr>
        <w:t xml:space="preserve">
내용 요소가 형식 요소를 상회하는 경우, 좋은 내용이 비효율적 운영 방식에 의해 충분히 활용되지 못하는 구조임을 의미하며 형식 개선이 우선 과제가 된다.</w:t>
      </w:r>
    </w:p>
    <w:p>
      <w:pPr>
        <w:spacing w:after="80" w:before="100"/>
        <w:jc w:val="left"/>
      </w:pPr>
      <w:r>
        <w:rPr>
          <w:rFonts w:ascii="Malgun Gothic" w:cs="Malgun Gothic" w:eastAsia="Malgun Gothic" w:hAnsi="Malgun Gothic"/>
          <w:b/>
          <w:bCs/>
          <w:i w:val="false"/>
          <w:iCs w:val="false"/>
          <w:color w:val="000000"/>
          <w:sz w:val="24"/>
          <w:szCs w:val="24"/>
        </w:rPr>
        <w:t xml:space="preserve">▶ 운영 2요소 균형 경로 구조도</w:t>
      </w:r>
    </w:p>
    <w:p>
      <w:pPr>
        <w:spacing w:after="120" w:before="120"/>
        <w:jc w:val="center"/>
      </w:pPr>
      <w:r>
        <w:drawing>
          <wp:inline distT="0" distB="0" distL="0" distR="0">
            <wp:extent cx="6096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1905000"/>
                    </a:xfrm>
                    <a:prstGeom prst="rect">
                      <a:avLst/>
                    </a:prstGeom>
                  </pic:spPr>
                </pic:pic>
              </a:graphicData>
            </a:graphic>
          </wp:inline>
        </w:drawing>
      </w:r>
    </w:p>
    <w:p>
      <w:pPr>
        <w:spacing w:after="200" w:before="100"/>
        <w:jc w:val="left"/>
      </w:pPr>
      <w:r>
        <w:rPr>
          <w:rFonts w:ascii="Malgun Gothic" w:cs="Malgun Gothic" w:eastAsia="Malgun Gothic" w:hAnsi="Malgun Gothic"/>
          <w:b w:val="false"/>
          <w:bCs w:val="false"/>
          <w:i w:val="false"/>
          <w:iCs w:val="false"/>
          <w:color w:val="000000"/>
          <w:sz w:val="22"/>
          <w:szCs w:val="22"/>
        </w:rPr>
        <w:t xml:space="preserve">내용 요소(평균 4.17점)와 형식 요소(평균 3.92점) 간의 0.25점 갭은, 협의회에서 다루는 주제의 충실성은 확보되어 있으나 운영 방식과 참여도 측면에서 개선 여지가 있음을 시사한다. 기관 규모가 클수록 참여도가 높다는 교차분석 결과는 소규모 기관의 형식 개선이 균형 달성의 핵심임을 보여준다.</w:t>
      </w:r>
    </w:p>
    <w:p>
      <w:pPr>
        <w:pBdr>
          <w:bottom w:val="single" w:color="2E5C8A" w:sz="8" w:space="4"/>
        </w:pBdr>
        <w:spacing w:after="180" w:before="400"/>
        <w:jc w:val="left"/>
      </w:pPr>
      <w:r>
        <w:rPr>
          <w:rFonts w:ascii="Malgun Gothic" w:cs="Malgun Gothic" w:eastAsia="Malgun Gothic" w:hAnsi="Malgun Gothic"/>
          <w:b/>
          <w:bCs/>
          <w:color w:val="1B4F72"/>
          <w:sz w:val="30"/>
          <w:szCs w:val="30"/>
        </w:rPr>
        <w:t xml:space="preserve">III. 만족도 분석</w:t>
      </w:r>
    </w:p>
    <w:p>
      <w:pPr>
        <w:spacing w:after="100" w:before="240"/>
      </w:pPr>
      <w:r>
        <w:rPr>
          <w:rFonts w:ascii="Malgun Gothic" w:cs="Malgun Gothic" w:eastAsia="Malgun Gothic" w:hAnsi="Malgun Gothic"/>
          <w:b/>
          <w:bCs/>
          <w:color w:val="2E5C8A"/>
          <w:sz w:val="24"/>
          <w:szCs w:val="24"/>
        </w:rPr>
        <w:t xml:space="preserve">1. 공통 문항 및 특화 문항 분리 분석</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2000"/>
        <w:gridCol w:w="2000"/>
      </w:tblGrid>
      <w:tr>
        <w:trPr>
          <w:tblHeader/>
        </w:trPr>
        <w:tc>
          <w:tcPr>
            <w:tcW w:type="dxa" w:w="16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구분</w:t>
            </w:r>
          </w:p>
        </w:tc>
        <w:tc>
          <w:tcPr>
            <w:tcW w:type="dxa" w:w="36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문항</w:t>
            </w:r>
          </w:p>
        </w:tc>
        <w:tc>
          <w:tcPr>
            <w:tcW w:type="dxa" w:w="20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평균 (5점)</w:t>
            </w:r>
          </w:p>
        </w:tc>
        <w:tc>
          <w:tcPr>
            <w:tcW w:type="dxa" w:w="20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긍정 비율</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bCs/>
                <w:sz w:val="22"/>
                <w:szCs w:val="22"/>
              </w:rPr>
              <w:t xml:space="preserve">■ 공통</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종합 만족도</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4.15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85.1%</w:t>
            </w:r>
          </w:p>
        </w:tc>
      </w:tr>
      <w:tr>
        <w:tc>
          <w:tcPr>
            <w:tcW w:type="dxa" w:w="1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bCs/>
                <w:sz w:val="22"/>
                <w:szCs w:val="22"/>
              </w:rPr>
              <w:t xml:space="preserve">■ 내용 요소</w:t>
            </w:r>
          </w:p>
        </w:tc>
        <w:tc>
          <w:tcPr>
            <w:tcW w:type="dxa" w:w="3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협의 내용 충실성</w:t>
            </w:r>
          </w:p>
        </w:tc>
        <w:tc>
          <w:tcPr>
            <w:tcW w:type="dxa" w:w="2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4.11</w:t>
            </w:r>
          </w:p>
        </w:tc>
        <w:tc>
          <w:tcPr>
            <w:tcW w:type="dxa" w:w="2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83.9%</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내용 요소</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정보 공유 효과</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4.22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88.5%</w:t>
            </w:r>
          </w:p>
        </w:tc>
      </w:tr>
      <w:tr>
        <w:tc>
          <w:tcPr>
            <w:tcW w:type="dxa" w:w="1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bCs/>
                <w:sz w:val="22"/>
                <w:szCs w:val="22"/>
              </w:rPr>
              <w:t xml:space="preserve">■ 형식 요소</w:t>
            </w:r>
          </w:p>
        </w:tc>
        <w:tc>
          <w:tcPr>
            <w:tcW w:type="dxa" w:w="3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운영 방식 적절성</w:t>
            </w:r>
          </w:p>
        </w:tc>
        <w:tc>
          <w:tcPr>
            <w:tcW w:type="dxa" w:w="2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3.96</w:t>
            </w:r>
          </w:p>
        </w:tc>
        <w:tc>
          <w:tcPr>
            <w:tcW w:type="dxa" w:w="2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78.2%</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형식 요소</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참여도·상호작용</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3.88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75.9%</w:t>
            </w:r>
          </w:p>
        </w:tc>
      </w:tr>
      <w:tr>
        <w:tc>
          <w:tcPr>
            <w:tcW w:type="dxa" w:w="1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bCs/>
                <w:sz w:val="22"/>
                <w:szCs w:val="22"/>
              </w:rPr>
              <w:t xml:space="preserve">■ 성과</w:t>
            </w:r>
          </w:p>
        </w:tc>
        <w:tc>
          <w:tcPr>
            <w:tcW w:type="dxa" w:w="3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문제 해결 도움</w:t>
            </w:r>
          </w:p>
        </w:tc>
        <w:tc>
          <w:tcPr>
            <w:tcW w:type="dxa" w:w="2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3.79</w:t>
            </w:r>
          </w:p>
        </w:tc>
        <w:tc>
          <w:tcPr>
            <w:tcW w:type="dxa" w:w="2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73.6%</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bCs/>
                <w:sz w:val="22"/>
                <w:szCs w:val="22"/>
              </w:rPr>
              <w:t xml:space="preserve">■ 종합</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지속 참여 의향</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4.38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90.8%</w:t>
            </w:r>
          </w:p>
        </w:tc>
      </w:tr>
    </w:tbl>
    <w:p>
      <w:pPr>
        <w:spacing w:after="200" w:before="0"/>
      </w:pPr>
      <w:r>
        <w:t xml:space="preserve"/>
      </w:r>
    </w:p>
    <w:p>
      <w:pPr>
        <w:spacing w:after="200" w:before="100"/>
        <w:jc w:val="left"/>
      </w:pPr>
      <w:r>
        <w:rPr>
          <w:rFonts w:ascii="Malgun Gothic" w:cs="Malgun Gothic" w:eastAsia="Malgun Gothic" w:hAnsi="Malgun Gothic"/>
          <w:b w:val="false"/>
          <w:bCs w:val="false"/>
          <w:i w:val="false"/>
          <w:iCs w:val="false"/>
          <w:color w:val="000000"/>
          <w:sz w:val="22"/>
          <w:szCs w:val="22"/>
        </w:rPr>
        <w:t xml:space="preserve">정보 공유 효과(4.22점, 88.5%)가 전 항목 중 가장 높아 협의회가 정보 전달 채널로서의 기능을 충실히 수행하고 있음을 확인할 수 있다. 반면 참여도·상호작용(3.88점, 75.9%)과 문제 해결 도움(3.79점, 73.6%)은 80% 기준선 이하로, 형식 요소의 약점이 성과 지표 저하로 이어지는 경로가 확인된다. 지속 참여 의향(4.38점, 90.8%)의 높은 수치는 협의회 자체의 필요성에는 공감하나, 운영 방식에 대한 개선 요구가 병존한다는 의미로 해석된다.</w:t>
      </w:r>
    </w:p>
    <w:p>
      <w:pPr>
        <w:spacing w:after="100" w:before="240"/>
      </w:pPr>
      <w:r>
        <w:rPr>
          <w:rFonts w:ascii="Malgun Gothic" w:cs="Malgun Gothic" w:eastAsia="Malgun Gothic" w:hAnsi="Malgun Gothic"/>
          <w:b/>
          <w:bCs/>
          <w:color w:val="2E5C8A"/>
          <w:sz w:val="24"/>
          <w:szCs w:val="24"/>
        </w:rPr>
        <w:t xml:space="preserve">2. 항목별 긍정 비율 분포</w:t>
      </w:r>
    </w:p>
    <w:p>
      <w:pPr>
        <w:spacing w:after="120" w:before="120"/>
        <w:jc w:val="center"/>
      </w:pPr>
      <w:r>
        <w:drawing>
          <wp:inline distT="0" distB="0" distL="0" distR="0">
            <wp:extent cx="5524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381250"/>
                    </a:xfrm>
                    <a:prstGeom prst="rect">
                      <a:avLst/>
                    </a:prstGeom>
                  </pic:spPr>
                </pic:pic>
              </a:graphicData>
            </a:graphic>
          </wp:inline>
        </w:drawing>
      </w:r>
    </w:p>
    <w:p>
      <w:pPr>
        <w:spacing w:after="200" w:before="0"/>
      </w:pPr>
      <w:r>
        <w:t xml:space="preserve"/>
      </w:r>
    </w:p>
    <w:p>
      <w:pPr>
        <w:spacing w:after="100" w:before="240"/>
      </w:pPr>
      <w:r>
        <w:rPr>
          <w:rFonts w:ascii="Malgun Gothic" w:cs="Malgun Gothic" w:eastAsia="Malgun Gothic" w:hAnsi="Malgun Gothic"/>
          <w:b/>
          <w:bCs/>
          <w:color w:val="2E5C8A"/>
          <w:sz w:val="24"/>
          <w:szCs w:val="24"/>
        </w:rPr>
        <w:t xml:space="preserve">3. 만족도 레이더 차트</w:t>
      </w:r>
    </w:p>
    <w:p>
      <w:pPr>
        <w:spacing w:after="120" w:before="120"/>
        <w:jc w:val="center"/>
      </w:pPr>
      <w:r>
        <w:drawing>
          <wp:inline distT="0" distB="0" distL="0" distR="0">
            <wp:extent cx="4000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4000500"/>
                    </a:xfrm>
                    <a:prstGeom prst="rect">
                      <a:avLst/>
                    </a:prstGeom>
                  </pic:spPr>
                </pic:pic>
              </a:graphicData>
            </a:graphic>
          </wp:inline>
        </w:drawing>
      </w:r>
    </w:p>
    <w:p>
      <w:pPr>
        <w:spacing w:after="300" w:before="0"/>
      </w:pPr>
      <w:r>
        <w:t xml:space="preserve"/>
      </w:r>
    </w:p>
    <w:p>
      <w:pPr>
        <w:pBdr>
          <w:bottom w:val="single" w:color="2E5C8A" w:sz="8" w:space="4"/>
        </w:pBdr>
        <w:spacing w:after="180" w:before="400"/>
        <w:jc w:val="left"/>
      </w:pPr>
      <w:r>
        <w:rPr>
          <w:rFonts w:ascii="Malgun Gothic" w:cs="Malgun Gothic" w:eastAsia="Malgun Gothic" w:hAnsi="Malgun Gothic"/>
          <w:b/>
          <w:bCs/>
          <w:color w:val="1B4F72"/>
          <w:sz w:val="30"/>
          <w:szCs w:val="30"/>
        </w:rPr>
        <w:t xml:space="preserve">IV. 고유 분석 — 운영 2요소 균형 측정</w:t>
      </w:r>
    </w:p>
    <w:p>
      <w:pPr>
        <w:spacing w:after="100" w:before="240"/>
      </w:pPr>
      <w:r>
        <w:rPr>
          <w:rFonts w:ascii="Malgun Gothic" w:cs="Malgun Gothic" w:eastAsia="Malgun Gothic" w:hAnsi="Malgun Gothic"/>
          <w:b/>
          <w:bCs/>
          <w:color w:val="2E5C8A"/>
          <w:sz w:val="24"/>
          <w:szCs w:val="24"/>
        </w:rPr>
        <w:t xml:space="preserve">1. 내용 요소 vs 형식 요소 비교</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600"/>
        <w:gridCol w:w="1600"/>
        <w:gridCol w:w="1400"/>
      </w:tblGrid>
      <w:tr>
        <w:trPr>
          <w:tblHeader/>
        </w:trPr>
        <w:tc>
          <w:tcPr>
            <w:tcW w:type="dxa" w:w="1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요소 구분</w:t>
            </w:r>
          </w:p>
        </w:tc>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세부 문항</w:t>
            </w:r>
          </w:p>
        </w:tc>
        <w:tc>
          <w:tcPr>
            <w:tcW w:type="dxa" w:w="16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평균 점수</w:t>
            </w:r>
          </w:p>
        </w:tc>
        <w:tc>
          <w:tcPr>
            <w:tcW w:type="dxa" w:w="16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긍정 비율</w:t>
            </w:r>
          </w:p>
        </w:tc>
        <w:tc>
          <w:tcPr>
            <w:tcW w:type="dxa" w:w="14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요소 평균</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bCs/>
                <w:sz w:val="22"/>
                <w:szCs w:val="22"/>
              </w:rPr>
              <w:t xml:space="preserve">■ 내용 요소</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협의 내용 충실성</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4.11점</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83.9%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4.17점</w:t>
            </w:r>
          </w:p>
        </w:tc>
      </w:tr>
      <w:tr>
        <w:tc>
          <w:tcPr>
            <w:tcW w:type="dxa" w:w="1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내용 요소</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정보 공유 효과</w:t>
            </w:r>
          </w:p>
        </w:tc>
        <w:tc>
          <w:tcPr>
            <w:tcW w:type="dxa" w:w="1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4.22점</w:t>
            </w:r>
          </w:p>
        </w:tc>
        <w:tc>
          <w:tcPr>
            <w:tcW w:type="dxa" w:w="1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88.5%</w:t>
            </w:r>
          </w:p>
        </w:tc>
        <w:tc>
          <w:tcPr>
            <w:tcW w:type="dxa" w:w="1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bCs/>
                <w:sz w:val="22"/>
                <w:szCs w:val="22"/>
              </w:rPr>
              <w:t xml:space="preserve">■ 형식 요소</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운영 방식 적절성</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3.96점</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78.2%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3.92점</w:t>
            </w:r>
          </w:p>
        </w:tc>
      </w:tr>
      <w:tr>
        <w:tc>
          <w:tcPr>
            <w:tcW w:type="dxa" w:w="1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형식 요소</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참여도·상호작용</w:t>
            </w:r>
          </w:p>
        </w:tc>
        <w:tc>
          <w:tcPr>
            <w:tcW w:type="dxa" w:w="1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3.88점</w:t>
            </w:r>
          </w:p>
        </w:tc>
        <w:tc>
          <w:tcPr>
            <w:tcW w:type="dxa" w:w="1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75.9%</w:t>
            </w:r>
          </w:p>
        </w:tc>
        <w:tc>
          <w:tcPr>
            <w:tcW w:type="dxa" w:w="1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bCs/>
                <w:sz w:val="22"/>
                <w:szCs w:val="22"/>
              </w:rPr>
              <w:t xml:space="preserve">■ 균형 갭</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내용↔형식 차이</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0.25점</w:t>
            </w:r>
          </w:p>
        </w:tc>
      </w:tr>
    </w:tbl>
    <w:p>
      <w:pPr>
        <w:spacing w:after="180" w:before="0"/>
      </w:pPr>
      <w:r>
        <w:t xml:space="preserve"/>
      </w:r>
    </w:p>
    <w:p>
      <w:pPr>
        <w:spacing w:after="120" w:before="120"/>
        <w:jc w:val="center"/>
      </w:pPr>
      <w:r>
        <w:drawing>
          <wp:inline distT="0" distB="0" distL="0" distR="0">
            <wp:extent cx="5524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476500"/>
                    </a:xfrm>
                    <a:prstGeom prst="rect">
                      <a:avLst/>
                    </a:prstGeom>
                  </pic:spPr>
                </pic:pic>
              </a:graphicData>
            </a:graphic>
          </wp:inline>
        </w:drawing>
      </w:r>
    </w:p>
    <w:p>
      <w:pPr>
        <w:spacing w:after="200" w:before="120"/>
        <w:jc w:val="left"/>
      </w:pPr>
      <w:r>
        <w:rPr>
          <w:rFonts w:ascii="Malgun Gothic" w:cs="Malgun Gothic" w:eastAsia="Malgun Gothic" w:hAnsi="Malgun Gothic"/>
          <w:b w:val="false"/>
          <w:bCs w:val="false"/>
          <w:i w:val="false"/>
          <w:iCs w:val="false"/>
          <w:color w:val="000000"/>
          <w:sz w:val="22"/>
          <w:szCs w:val="22"/>
        </w:rPr>
        <w:t xml:space="preserve">내용 요소(4.17점)가 형식 요소(3.92점)를 0.25점 상회하는 구조는, 협의회에서 다루는 내용의 품질은 일정 수준 확보되었으나 이를 효과적으로 전달하고 상호작용할 수 있는 운영 방식이 뒷받침되지 못하고 있음을 의미한다. 특히 참여도·상호작용(3.88점)이 형식 요소 중 더 낮게 나타난 점은, 운영 방식 자체의 문제라기보다 참여 기회 자체가 구조적으로 제한되어 있다는 신호이다. 결과적으로 문제 해결 도움(3.79점)이 전 항목 최저를 기록한 것은, 형식 요소의 약점이 최종 성과 지표 저하로 이어지는 경로를 보여준다.</w:t>
      </w:r>
    </w:p>
    <w:p>
      <w:pPr>
        <w:pBdr>
          <w:left w:val="single" w:color="BDC3C7" w:sz="6" w:space="8"/>
        </w:pBdr>
        <w:spacing w:after="120" w:before="120"/>
        <w:ind w:left="400"/>
        <w:jc w:val="left"/>
      </w:pPr>
      <w:r>
        <w:rPr>
          <w:rFonts w:ascii="Malgun Gothic" w:cs="Malgun Gothic" w:eastAsia="Malgun Gothic" w:hAnsi="Malgun Gothic"/>
          <w:i/>
          <w:iCs/>
          <w:color w:val="555555"/>
          <w:sz w:val="22"/>
          <w:szCs w:val="22"/>
        </w:rPr>
        <w:t xml:space="preserve">좋은 내용이 있어도 발언 기회와 상호작용이 부족하면 협의회의 성과는 절반에 그친다 — 형식 요소 개선이 내용 요소의 효과를 완성한다.</w:t>
      </w:r>
    </w:p>
    <w:p>
      <w:pPr>
        <w:spacing w:after="100" w:before="240"/>
      </w:pPr>
      <w:r>
        <w:rPr>
          <w:rFonts w:ascii="Malgun Gothic" w:cs="Malgun Gothic" w:eastAsia="Malgun Gothic" w:hAnsi="Malgun Gothic"/>
          <w:b/>
          <w:bCs/>
          <w:color w:val="2E5C8A"/>
          <w:sz w:val="24"/>
          <w:szCs w:val="24"/>
        </w:rPr>
        <w:t xml:space="preserve">2. 기관 규모별 교차분석</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1800"/>
        <w:gridCol w:w="1800"/>
      </w:tblGrid>
      <w:tr>
        <w:trPr>
          <w:tblHeader/>
        </w:trPr>
        <w:tc>
          <w:tcPr>
            <w:tcW w:type="dxa" w:w="2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집단</w:t>
            </w:r>
          </w:p>
        </w:tc>
        <w:tc>
          <w:tcPr>
            <w:tcW w:type="dxa" w:w="16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인원</w:t>
            </w:r>
          </w:p>
        </w:tc>
        <w:tc>
          <w:tcPr>
            <w:tcW w:type="dxa" w:w="1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참여도·상호작용</w:t>
            </w:r>
          </w:p>
        </w:tc>
        <w:tc>
          <w:tcPr>
            <w:tcW w:type="dxa" w:w="1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문제 해결 도움</w:t>
            </w:r>
          </w:p>
        </w:tc>
        <w:tc>
          <w:tcPr>
            <w:tcW w:type="dxa" w:w="1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규모 효과</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소규모 (20인 이하)</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34명 (39.1%)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3.71점</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3.58점</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r>
      <w:tr>
        <w:tc>
          <w:tcPr>
            <w:tcW w:type="dxa" w:w="2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중규모 (21~50인)</w:t>
            </w:r>
          </w:p>
        </w:tc>
        <w:tc>
          <w:tcPr>
            <w:tcW w:type="dxa" w:w="1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38명 (43.7%)</w:t>
            </w:r>
          </w:p>
        </w:tc>
        <w:tc>
          <w:tcPr>
            <w:tcW w:type="dxa" w:w="1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3.95점</w:t>
            </w:r>
          </w:p>
        </w:tc>
        <w:tc>
          <w:tcPr>
            <w:tcW w:type="dxa" w:w="1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3.84점</w:t>
            </w:r>
          </w:p>
        </w:tc>
        <w:tc>
          <w:tcPr>
            <w:tcW w:type="dxa" w:w="1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대규모 (51인 이상)</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15명 (17.2%)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4.12점</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4.03점</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r>
      <w:tr>
        <w:tc>
          <w:tcPr>
            <w:tcW w:type="dxa" w:w="2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소→대 차이</w:t>
            </w:r>
          </w:p>
        </w:tc>
        <w:tc>
          <w:tcPr>
            <w:tcW w:type="dxa" w:w="16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c>
          <w:tcPr>
            <w:tcW w:type="dxa" w:w="1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+0.41점</w:t>
            </w:r>
          </w:p>
        </w:tc>
        <w:tc>
          <w:tcPr>
            <w:tcW w:type="dxa" w:w="1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+0.45점</w:t>
            </w:r>
          </w:p>
        </w:tc>
        <w:tc>
          <w:tcPr>
            <w:tcW w:type="dxa" w:w="1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규모 정비례</w:t>
            </w:r>
          </w:p>
        </w:tc>
      </w:tr>
    </w:tbl>
    <w:p>
      <w:pPr>
        <w:spacing w:after="180" w:before="0"/>
      </w:pPr>
      <w:r>
        <w:t xml:space="preserve"/>
      </w:r>
    </w:p>
    <w:p>
      <w:pPr>
        <w:spacing w:after="120" w:before="120"/>
        <w:jc w:val="center"/>
      </w:pPr>
      <w:r>
        <w:drawing>
          <wp:inline distT="0" distB="0" distL="0" distR="0">
            <wp:extent cx="5143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571750"/>
                    </a:xfrm>
                    <a:prstGeom prst="rect">
                      <a:avLst/>
                    </a:prstGeom>
                  </pic:spPr>
                </pic:pic>
              </a:graphicData>
            </a:graphic>
          </wp:inline>
        </w:drawing>
      </w:r>
    </w:p>
    <w:p>
      <w:pPr>
        <w:spacing w:after="200" w:before="120"/>
        <w:jc w:val="left"/>
      </w:pPr>
      <w:r>
        <w:rPr>
          <w:rFonts w:ascii="Malgun Gothic" w:cs="Malgun Gothic" w:eastAsia="Malgun Gothic" w:hAnsi="Malgun Gothic"/>
          <w:b w:val="false"/>
          <w:bCs w:val="false"/>
          <w:i w:val="false"/>
          <w:iCs w:val="false"/>
          <w:color w:val="000000"/>
          <w:sz w:val="22"/>
          <w:szCs w:val="22"/>
        </w:rPr>
        <w:t xml:space="preserve">기관 규모가 클수록 참여도(소규모 3.71 → 대규모 4.12, +0.41점)와 문제 해결 도움(소규모 3.58 → 대규모 4.03, +0.45점)이 일관되게 높아지는 패턴이 확인된다. 소규모 기관은 담당 인력이 부족하여 협의회 참여 자체에 부담을 느끼는 경우가 많으며, 이것이 참여도와 발언 기회 부족으로 이어진다. 이는 주관식 의견에서 참여 부담(15건)이 두 번째로 많이 언급된 배경을 설명한다. 소규모 기관을 위한 온라인 병행, 소집단 분리 운영 등의 접근이 균형 달성의 핵심 과제이다.</w:t>
      </w:r>
    </w:p>
    <w:p>
      <w:pPr>
        <w:pBdr>
          <w:left w:val="single" w:color="BDC3C7" w:sz="6" w:space="8"/>
        </w:pBdr>
        <w:spacing w:after="120" w:before="120"/>
        <w:ind w:left="400"/>
        <w:jc w:val="left"/>
      </w:pPr>
      <w:r>
        <w:rPr>
          <w:rFonts w:ascii="Malgun Gothic" w:cs="Malgun Gothic" w:eastAsia="Malgun Gothic" w:hAnsi="Malgun Gothic"/>
          <w:i/>
          <w:iCs/>
          <w:color w:val="555555"/>
          <w:sz w:val="22"/>
          <w:szCs w:val="22"/>
        </w:rPr>
        <w:t xml:space="preserve">소규모 기관 참여도(3.71점)와 대규모 기관(4.12점) 간의 0.41점 차이 — 인력 규모가 협의회 활용도를 결정하는 현실을 보여주며, 온라인 병행·소집단 운영으로 격차를 좁혀야 한다.</w:t>
      </w:r>
    </w:p>
    <w:p>
      <w:pPr>
        <w:spacing w:after="300" w:before="0"/>
      </w:pPr>
      <w:r>
        <w:t xml:space="preserve"/>
      </w:r>
    </w:p>
    <w:p>
      <w:pPr>
        <w:pBdr>
          <w:bottom w:val="single" w:color="2E5C8A" w:sz="8" w:space="4"/>
        </w:pBdr>
        <w:spacing w:after="180" w:before="400"/>
        <w:jc w:val="left"/>
      </w:pPr>
      <w:r>
        <w:rPr>
          <w:rFonts w:ascii="Malgun Gothic" w:cs="Malgun Gothic" w:eastAsia="Malgun Gothic" w:hAnsi="Malgun Gothic"/>
          <w:b/>
          <w:bCs/>
          <w:color w:val="1B4F72"/>
          <w:sz w:val="30"/>
          <w:szCs w:val="30"/>
        </w:rPr>
        <w:t xml:space="preserve">V. 주관식 의견 분석</w:t>
      </w:r>
    </w:p>
    <w:p>
      <w:pPr>
        <w:spacing w:after="120" w:before="12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476500"/>
                    </a:xfrm>
                    <a:prstGeom prst="rect">
                      <a:avLst/>
                    </a:prstGeom>
                  </pic:spPr>
                </pic:pic>
              </a:graphicData>
            </a:graphic>
          </wp:inline>
        </w:drawing>
      </w:r>
    </w:p>
    <w:p>
      <w:pPr>
        <w:spacing w:after="200" w:before="0"/>
      </w:pPr>
      <w:r>
        <w:t xml:space="preserve"/>
      </w:r>
    </w:p>
    <w:p>
      <w:pPr>
        <w:spacing w:after="60" w:before="180"/>
        <w:jc w:val="left"/>
      </w:pPr>
      <w:r>
        <w:rPr>
          <w:rFonts w:ascii="Malgun Gothic" w:cs="Malgun Gothic" w:eastAsia="Malgun Gothic" w:hAnsi="Malgun Gothic"/>
          <w:b/>
          <w:bCs/>
          <w:i w:val="false"/>
          <w:iCs w:val="false"/>
          <w:color w:val="1B4F72"/>
          <w:sz w:val="24"/>
          <w:szCs w:val="24"/>
        </w:rPr>
        <w:t xml:space="preserve">① 운영 방식 개선 요구 (19건)</w:t>
      </w:r>
    </w:p>
    <w:p>
      <w:pPr>
        <w:spacing w:after="60" w:before="60"/>
        <w:jc w:val="left"/>
      </w:pPr>
      <w:r>
        <w:rPr>
          <w:rFonts w:ascii="Malgun Gothic" w:cs="Malgun Gothic" w:eastAsia="Malgun Gothic" w:hAnsi="Malgun Gothic"/>
          <w:b w:val="false"/>
          <w:bCs w:val="false"/>
          <w:i w:val="false"/>
          <w:iCs w:val="false"/>
          <w:color w:val="555555"/>
          <w:sz w:val="20"/>
          <w:szCs w:val="20"/>
        </w:rPr>
        <w:t xml:space="preserve">키워드: 온라인 병행 (13건), 소집단 운영 (11건), 시간 단축 (7건)</w:t>
      </w:r>
    </w:p>
    <w:p>
      <w:pPr>
        <w:spacing w:after="120" w:before="60"/>
        <w:jc w:val="left"/>
      </w:pPr>
      <w:r>
        <w:rPr>
          <w:rFonts w:ascii="Malgun Gothic" w:cs="Malgun Gothic" w:eastAsia="Malgun Gothic" w:hAnsi="Malgun Gothic"/>
          <w:b w:val="false"/>
          <w:bCs w:val="false"/>
          <w:i w:val="false"/>
          <w:iCs w:val="false"/>
          <w:color w:val="000000"/>
          <w:sz w:val="22"/>
          <w:szCs w:val="22"/>
        </w:rPr>
        <w:t xml:space="preserve">가장 많은 의견이 현재의 전체 집합 방식에서 벗어난 운영 구조 변화를 요구하였다. 온라인 병행(13건)은 참여 접근성 확대를 위한 요구이며, 소집단 운영(11건)은 대규모 협의회에서 발언 기회가 구조적으로 부족하다는 인식에서 비롯된다. IV장 교차분석에서 소규모 기관의 참여도 저하(3.71점)와 직결된다.</w:t>
      </w:r>
    </w:p>
    <w:p>
      <w:pPr>
        <w:spacing w:after="60" w:before="180"/>
        <w:jc w:val="left"/>
      </w:pPr>
      <w:r>
        <w:rPr>
          <w:rFonts w:ascii="Malgun Gothic" w:cs="Malgun Gothic" w:eastAsia="Malgun Gothic" w:hAnsi="Malgun Gothic"/>
          <w:b/>
          <w:bCs/>
          <w:i w:val="false"/>
          <w:iCs w:val="false"/>
          <w:color w:val="1B4F72"/>
          <w:sz w:val="24"/>
          <w:szCs w:val="24"/>
        </w:rPr>
        <w:t xml:space="preserve">② 내용 확충 요구 (18건)</w:t>
      </w:r>
    </w:p>
    <w:p>
      <w:pPr>
        <w:spacing w:after="60" w:before="60"/>
        <w:jc w:val="left"/>
      </w:pPr>
      <w:r>
        <w:rPr>
          <w:rFonts w:ascii="Malgun Gothic" w:cs="Malgun Gothic" w:eastAsia="Malgun Gothic" w:hAnsi="Malgun Gothic"/>
          <w:b w:val="false"/>
          <w:bCs w:val="false"/>
          <w:i w:val="false"/>
          <w:iCs w:val="false"/>
          <w:color w:val="555555"/>
          <w:sz w:val="20"/>
          <w:szCs w:val="20"/>
        </w:rPr>
        <w:t xml:space="preserve">키워드: 사례 중심 (18건), 안건 사전 공유 (9건), 정책 변화 반영 (7건)</w:t>
      </w:r>
    </w:p>
    <w:p>
      <w:pPr>
        <w:spacing w:after="120" w:before="60"/>
        <w:jc w:val="left"/>
      </w:pPr>
      <w:r>
        <w:rPr>
          <w:rFonts w:ascii="Malgun Gothic" w:cs="Malgun Gothic" w:eastAsia="Malgun Gothic" w:hAnsi="Malgun Gothic"/>
          <w:b w:val="false"/>
          <w:bCs w:val="false"/>
          <w:i w:val="false"/>
          <w:iCs w:val="false"/>
          <w:color w:val="000000"/>
          <w:sz w:val="22"/>
          <w:szCs w:val="22"/>
        </w:rPr>
        <w:t xml:space="preserve">두 번째로 많은 의견은 협의회에서 다루는 내용을 더 구체적이고 현장 밀착형으로 강화해달라는 요구였다. 사례 중심(18건)이 전체 키워드 Top 1을 차지하며, 정보 전달 중심 협의회 구조에서 사례 토론 방식으로의 전환에 대한 수요가 높다. 안건 사전 공유(9건)는 협의회 준비 없이 즉흥적으로 참석하는 현재 방식에 대한 문제 제기이다.</w:t>
      </w:r>
    </w:p>
    <w:p>
      <w:pPr>
        <w:spacing w:after="60" w:before="180"/>
        <w:jc w:val="left"/>
      </w:pPr>
      <w:r>
        <w:rPr>
          <w:rFonts w:ascii="Malgun Gothic" w:cs="Malgun Gothic" w:eastAsia="Malgun Gothic" w:hAnsi="Malgun Gothic"/>
          <w:b/>
          <w:bCs/>
          <w:i w:val="false"/>
          <w:iCs w:val="false"/>
          <w:color w:val="1B4F72"/>
          <w:sz w:val="24"/>
          <w:szCs w:val="24"/>
        </w:rPr>
        <w:t xml:space="preserve">③ 참여 제약 토로 (16건)</w:t>
      </w:r>
    </w:p>
    <w:p>
      <w:pPr>
        <w:spacing w:after="60" w:before="60"/>
        <w:jc w:val="left"/>
      </w:pPr>
      <w:r>
        <w:rPr>
          <w:rFonts w:ascii="Malgun Gothic" w:cs="Malgun Gothic" w:eastAsia="Malgun Gothic" w:hAnsi="Malgun Gothic"/>
          <w:b w:val="false"/>
          <w:bCs w:val="false"/>
          <w:i w:val="false"/>
          <w:iCs w:val="false"/>
          <w:color w:val="555555"/>
          <w:sz w:val="20"/>
          <w:szCs w:val="20"/>
        </w:rPr>
        <w:t xml:space="preserve">키워드: 참여 부담 (15건), 발언 기회 부족 (8건), 이동 거리 (6건)</w:t>
      </w:r>
    </w:p>
    <w:p>
      <w:pPr>
        <w:spacing w:after="120" w:before="60"/>
        <w:jc w:val="left"/>
      </w:pPr>
      <w:r>
        <w:rPr>
          <w:rFonts w:ascii="Malgun Gothic" w:cs="Malgun Gothic" w:eastAsia="Malgun Gothic" w:hAnsi="Malgun Gothic"/>
          <w:b w:val="false"/>
          <w:bCs w:val="false"/>
          <w:i w:val="false"/>
          <w:iCs w:val="false"/>
          <w:color w:val="000000"/>
          <w:sz w:val="22"/>
          <w:szCs w:val="22"/>
        </w:rPr>
        <w:t xml:space="preserve">세 번째로 많은 의견은 협의회 참여 자체의 어려움을 호소하는 내용이었다. 참여 부담(15건)은 업무 과중(통합설문 44.3%)과 겹쳐 발생하는 구조적 이슈이다. 발언 기회 부족(8건)은 IV장 형식 요소 약점(참여도 3.88점)과 직결되며, 협의회 구조가 일방적 정보 전달 중심으로 편중되어 있음을 지적한다.</w:t>
      </w:r>
    </w:p>
    <w:p>
      <w:pPr>
        <w:spacing w:after="60" w:before="180"/>
        <w:jc w:val="left"/>
      </w:pPr>
      <w:r>
        <w:rPr>
          <w:rFonts w:ascii="Malgun Gothic" w:cs="Malgun Gothic" w:eastAsia="Malgun Gothic" w:hAnsi="Malgun Gothic"/>
          <w:b/>
          <w:bCs/>
          <w:i w:val="false"/>
          <w:iCs w:val="false"/>
          <w:color w:val="1B4F72"/>
          <w:sz w:val="24"/>
          <w:szCs w:val="24"/>
        </w:rPr>
        <w:t xml:space="preserve">④ 정보 공유 효과 긍정 (10건)</w:t>
      </w:r>
    </w:p>
    <w:p>
      <w:pPr>
        <w:spacing w:after="60" w:before="60"/>
        <w:jc w:val="left"/>
      </w:pPr>
      <w:r>
        <w:rPr>
          <w:rFonts w:ascii="Malgun Gothic" w:cs="Malgun Gothic" w:eastAsia="Malgun Gothic" w:hAnsi="Malgun Gothic"/>
          <w:b w:val="false"/>
          <w:bCs w:val="false"/>
          <w:i w:val="false"/>
          <w:iCs w:val="false"/>
          <w:color w:val="555555"/>
          <w:sz w:val="20"/>
          <w:szCs w:val="20"/>
        </w:rPr>
        <w:t xml:space="preserve">키워드: 정보 공유 (10건), 정책 이해 (7건), 사례 학습 (5건)</w:t>
      </w:r>
    </w:p>
    <w:p>
      <w:pPr>
        <w:spacing w:after="120" w:before="60"/>
        <w:jc w:val="left"/>
      </w:pPr>
      <w:r>
        <w:rPr>
          <w:rFonts w:ascii="Malgun Gothic" w:cs="Malgun Gothic" w:eastAsia="Malgun Gothic" w:hAnsi="Malgun Gothic"/>
          <w:b w:val="false"/>
          <w:bCs w:val="false"/>
          <w:i w:val="false"/>
          <w:iCs w:val="false"/>
          <w:color w:val="000000"/>
          <w:sz w:val="22"/>
          <w:szCs w:val="22"/>
        </w:rPr>
        <w:t xml:space="preserve">협의회를 통해 정보를 효과적으로 습득하고 있다는 긍정 피드백이 10건이었다. 이는 내용 요소(4.17점)가 형식 요소(3.92점)보다 높은 설문 결과와 일치한다. 정보 전달 기능은 충분히 작동하고 있으나, 이것이 상호작용과 문제 해결로 이어지지 못하는 구조적 한계가 병존한다.</w:t>
      </w:r>
    </w:p>
    <w:p>
      <w:pPr>
        <w:spacing w:after="200" w:before="0"/>
      </w:pPr>
      <w:r>
        <w:t xml:space="preserve"/>
      </w:r>
    </w:p>
    <w:p>
      <w:pPr>
        <w:spacing w:after="100" w:before="240"/>
      </w:pPr>
      <w:r>
        <w:rPr>
          <w:rFonts w:ascii="Malgun Gothic" w:cs="Malgun Gothic" w:eastAsia="Malgun Gothic" w:hAnsi="Malgun Gothic"/>
          <w:b/>
          <w:bCs/>
          <w:color w:val="2E5C8A"/>
          <w:sz w:val="24"/>
          <w:szCs w:val="24"/>
        </w:rPr>
        <w:t xml:space="preserve">키워드 Top 7</w:t>
      </w:r>
    </w:p>
    <w:p>
      <w:pPr>
        <w:spacing w:after="120" w:before="120"/>
        <w:jc w:val="center"/>
      </w:pPr>
      <w:r>
        <w:drawing>
          <wp:inline distT="0" distB="0" distL="0" distR="0">
            <wp:extent cx="5143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095500"/>
                    </a:xfrm>
                    <a:prstGeom prst="rect">
                      <a:avLst/>
                    </a:prstGeom>
                  </pic:spPr>
                </pic:pic>
              </a:graphicData>
            </a:graphic>
          </wp:inline>
        </w:drawing>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200"/>
        <w:gridCol w:w="5200"/>
      </w:tblGrid>
      <w:tr>
        <w:trPr>
          <w:tblHeader/>
        </w:trPr>
        <w:tc>
          <w:tcPr>
            <w:tcW w:type="dxa" w:w="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순위</w:t>
            </w:r>
          </w:p>
        </w:tc>
        <w:tc>
          <w:tcPr>
            <w:tcW w:type="dxa" w:w="20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키워드</w:t>
            </w:r>
          </w:p>
        </w:tc>
        <w:tc>
          <w:tcPr>
            <w:tcW w:type="dxa" w:w="1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건수</w:t>
            </w:r>
          </w:p>
        </w:tc>
        <w:tc>
          <w:tcPr>
            <w:tcW w:type="dxa" w:w="5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관련 유형</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사례 중심</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18건</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내용 확충 요구</w:t>
            </w:r>
          </w:p>
        </w:tc>
      </w:tr>
      <w:tr>
        <w:tc>
          <w:tcPr>
            <w:tcW w:type="dxa" w:w="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2</w:t>
            </w:r>
          </w:p>
        </w:tc>
        <w:tc>
          <w:tcPr>
            <w:tcW w:type="dxa" w:w="2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참여 부담</w:t>
            </w:r>
          </w:p>
        </w:tc>
        <w:tc>
          <w:tcPr>
            <w:tcW w:type="dxa" w:w="1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15건</w:t>
            </w:r>
          </w:p>
        </w:tc>
        <w:tc>
          <w:tcPr>
            <w:tcW w:type="dxa" w:w="5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참여 제약 토로</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온라인 병행</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13건</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운영 방식 개선</w:t>
            </w:r>
          </w:p>
        </w:tc>
      </w:tr>
      <w:tr>
        <w:tc>
          <w:tcPr>
            <w:tcW w:type="dxa" w:w="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4</w:t>
            </w:r>
          </w:p>
        </w:tc>
        <w:tc>
          <w:tcPr>
            <w:tcW w:type="dxa" w:w="2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소집단 운영</w:t>
            </w:r>
          </w:p>
        </w:tc>
        <w:tc>
          <w:tcPr>
            <w:tcW w:type="dxa" w:w="1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11건</w:t>
            </w:r>
          </w:p>
        </w:tc>
        <w:tc>
          <w:tcPr>
            <w:tcW w:type="dxa" w:w="5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운영 방식 개선</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정보 공유</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10건</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정보 공유 효과 긍정</w:t>
            </w:r>
          </w:p>
        </w:tc>
      </w:tr>
      <w:tr>
        <w:tc>
          <w:tcPr>
            <w:tcW w:type="dxa" w:w="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6</w:t>
            </w:r>
          </w:p>
        </w:tc>
        <w:tc>
          <w:tcPr>
            <w:tcW w:type="dxa" w:w="20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안건 사전공유</w:t>
            </w:r>
          </w:p>
        </w:tc>
        <w:tc>
          <w:tcPr>
            <w:tcW w:type="dxa" w:w="1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9건</w:t>
            </w:r>
          </w:p>
        </w:tc>
        <w:tc>
          <w:tcPr>
            <w:tcW w:type="dxa" w:w="5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내용 확충 요구</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발언 기회</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8건</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참여 제약 토로</w:t>
            </w:r>
          </w:p>
        </w:tc>
      </w:tr>
    </w:tbl>
    <w:p>
      <w:pPr>
        <w:spacing w:after="300" w:before="0"/>
      </w:pPr>
      <w:r>
        <w:t xml:space="preserve"/>
      </w:r>
    </w:p>
    <w:p>
      <w:pPr>
        <w:pBdr>
          <w:bottom w:val="single" w:color="2E5C8A" w:sz="8" w:space="4"/>
        </w:pBdr>
        <w:spacing w:after="180" w:before="400"/>
        <w:jc w:val="left"/>
      </w:pPr>
      <w:r>
        <w:rPr>
          <w:rFonts w:ascii="Malgun Gothic" w:cs="Malgun Gothic" w:eastAsia="Malgun Gothic" w:hAnsi="Malgun Gothic"/>
          <w:b/>
          <w:bCs/>
          <w:color w:val="1B4F72"/>
          <w:sz w:val="30"/>
          <w:szCs w:val="30"/>
        </w:rPr>
        <w:t xml:space="preserve">VI. 통합설문 이행 확인</w:t>
      </w:r>
    </w:p>
    <w:p>
      <w:pPr>
        <w:spacing w:after="120" w:before="60"/>
        <w:jc w:val="left"/>
      </w:pPr>
      <w:r>
        <w:rPr>
          <w:rFonts w:ascii="Malgun Gothic" w:cs="Malgun Gothic" w:eastAsia="Malgun Gothic" w:hAnsi="Malgun Gothic"/>
          <w:b w:val="false"/>
          <w:bCs w:val="false"/>
          <w:i w:val="false"/>
          <w:iCs w:val="false"/>
          <w:color w:val="000000"/>
          <w:sz w:val="22"/>
          <w:szCs w:val="22"/>
        </w:rPr>
        <w:t xml:space="preserve">상반기 통합설문(S01) 결과를 바탕으로 아래 4개 항목의 이행 여부를 확인한다.</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400"/>
        <w:gridCol w:w="2800"/>
      </w:tblGrid>
      <w:tr>
        <w:trPr>
          <w:tblHeader/>
        </w:trPr>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이행 항목</w:t>
            </w:r>
          </w:p>
        </w:tc>
        <w:tc>
          <w:tcPr>
            <w:tcW w:type="dxa" w:w="2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통합설문 근거</w:t>
            </w:r>
          </w:p>
        </w:tc>
        <w:tc>
          <w:tcPr>
            <w:tcW w:type="dxa" w:w="14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이행 여부</w:t>
            </w:r>
          </w:p>
        </w:tc>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비고</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협의회 정기 운영</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업무 과중률 44.3% — 소통 채널 필요</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이행</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상반기 2회 정기 운영 완료</w:t>
            </w:r>
          </w:p>
        </w:tc>
      </w:tr>
      <w:tr>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안건 다양화 추진</w:t>
            </w:r>
          </w:p>
        </w:tc>
        <w:tc>
          <w:tcPr>
            <w:tcW w:type="dxa" w:w="2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소진·폭언 등 현장 이슈 다수</w:t>
            </w:r>
          </w:p>
        </w:tc>
        <w:tc>
          <w:tcPr>
            <w:tcW w:type="dxa" w:w="1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이행</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정책·사례·Q&amp;A 혼합 운영</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소규모 기관 참여율 제고</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소규모 기관 참여도 저하 확인</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미개선</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전체 집합 방식 유지</w:t>
            </w:r>
          </w:p>
        </w:tc>
      </w:tr>
      <w:tr>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온라인·오프라인 병행</w:t>
            </w:r>
          </w:p>
        </w:tc>
        <w:tc>
          <w:tcPr>
            <w:tcW w:type="dxa" w:w="2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이동 부담·참여 제약 호소</w:t>
            </w:r>
          </w:p>
        </w:tc>
        <w:tc>
          <w:tcPr>
            <w:tcW w:type="dxa" w:w="1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미개선</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대면 방식만 유지</w:t>
            </w:r>
          </w:p>
        </w:tc>
      </w:tr>
    </w:tbl>
    <w:p>
      <w:pPr>
        <w:spacing w:after="200" w:before="0"/>
      </w:pPr>
      <w:r>
        <w:t xml:space="preserve"/>
      </w:r>
    </w:p>
    <w:p>
      <w:pPr>
        <w:spacing w:after="100" w:before="240"/>
      </w:pPr>
      <w:r>
        <w:rPr>
          <w:rFonts w:ascii="Malgun Gothic" w:cs="Malgun Gothic" w:eastAsia="Malgun Gothic" w:hAnsi="Malgun Gothic"/>
          <w:b/>
          <w:bCs/>
          <w:color w:val="2E5C8A"/>
          <w:sz w:val="24"/>
          <w:szCs w:val="24"/>
        </w:rPr>
        <w:t xml:space="preserve">항목별 상세 서술</w:t>
      </w:r>
    </w:p>
    <w:p>
      <w:pPr>
        <w:spacing w:after="60" w:before="120"/>
        <w:jc w:val="left"/>
      </w:pPr>
      <w:r>
        <w:rPr>
          <w:rFonts w:ascii="Malgun Gothic" w:cs="Malgun Gothic" w:eastAsia="Malgun Gothic" w:hAnsi="Malgun Gothic"/>
          <w:b w:val="false"/>
          <w:bCs w:val="false"/>
          <w:i w:val="false"/>
          <w:iCs w:val="false"/>
          <w:color w:val="000000"/>
          <w:sz w:val="22"/>
          <w:szCs w:val="22"/>
        </w:rPr>
        <w:t xml:space="preserve">① 협의회 정기 운영 [이행]: 업무 과중(44.3%)과 소진(72.7%)이 높은 현장 상황에서 정기 소통 채널의 중요성이 확인되어, 상반기 2회 정기 운영을 완료하였다. 지속 참여 의향(90.8%)이 높게 나타난 것은 협의회의 구조적 가치에 대한 현장의 공감을 보여준다.</w:t>
      </w:r>
    </w:p>
    <w:p>
      <w:pPr>
        <w:spacing w:after="60" w:before="60"/>
        <w:jc w:val="left"/>
      </w:pPr>
      <w:r>
        <w:rPr>
          <w:rFonts w:ascii="Malgun Gothic" w:cs="Malgun Gothic" w:eastAsia="Malgun Gothic" w:hAnsi="Malgun Gothic"/>
          <w:b w:val="false"/>
          <w:bCs w:val="false"/>
          <w:i w:val="false"/>
          <w:iCs w:val="false"/>
          <w:color w:val="000000"/>
          <w:sz w:val="22"/>
          <w:szCs w:val="22"/>
        </w:rPr>
        <w:t xml:space="preserve">② 안건 다양화 추진 [이행]: 소진, 폭언, 처우 개선 등 현장의 다양한 이슈를 반영하여 정책 전달 + 사례 공유 + Q&amp;A를 혼합한 운영 방식을 시도하였다. 정보 공유 효과(88.5%)가 높게 나타난 것은 이 다양화 노력의 성과로 해석된다.</w:t>
      </w:r>
    </w:p>
    <w:p>
      <w:pPr>
        <w:spacing w:after="60" w:before="60"/>
        <w:jc w:val="left"/>
      </w:pPr>
      <w:r>
        <w:rPr>
          <w:rFonts w:ascii="Malgun Gothic" w:cs="Malgun Gothic" w:eastAsia="Malgun Gothic" w:hAnsi="Malgun Gothic"/>
          <w:b w:val="false"/>
          <w:bCs w:val="false"/>
          <w:i w:val="false"/>
          <w:iCs w:val="false"/>
          <w:color w:val="000000"/>
          <w:sz w:val="22"/>
          <w:szCs w:val="22"/>
        </w:rPr>
        <w:t xml:space="preserve">③ 소규모 기관 참여율 제고 [미개선]: 기관 규모별 교차분석에서 소규모 기관(20인 이하)의 참여도가 3.71점으로 대규모 기관(4.12점) 대비 0.41점 낮게 나타났으나, 전체 집합 방식의 운영 구조가 유지되어 소규모 기관의 참여 환경 개선이 이루어지지 못하였다. 이는 운영 방식의 관성에 기인한 구조적 문제이다.</w:t>
      </w:r>
    </w:p>
    <w:p>
      <w:pPr>
        <w:spacing w:after="120" w:before="60"/>
        <w:jc w:val="left"/>
      </w:pPr>
      <w:r>
        <w:rPr>
          <w:rFonts w:ascii="Malgun Gothic" w:cs="Malgun Gothic" w:eastAsia="Malgun Gothic" w:hAnsi="Malgun Gothic"/>
          <w:b w:val="false"/>
          <w:bCs w:val="false"/>
          <w:i w:val="false"/>
          <w:iCs w:val="false"/>
          <w:color w:val="000000"/>
          <w:sz w:val="22"/>
          <w:szCs w:val="22"/>
        </w:rPr>
        <w:t xml:space="preserve">④ 온라인·오프라인 병행 [미개선]: 주관식에서 온라인 병행(13건)과 이동 부담(6건) 요구가 확인되었으나, 현재까지 대면 방식만 유지하고 있다. 장비 구축 및 운영 역량 부족이 주요 원인이며, 시범 운영부터 단계적으로 접근하는 방안을 검토할 필요가 있다.</w:t>
      </w:r>
    </w:p>
    <w:p>
      <w:pPr>
        <w:pBdr>
          <w:left w:val="single" w:color="BDC3C7" w:sz="6" w:space="8"/>
        </w:pBdr>
        <w:spacing w:after="120" w:before="120"/>
        <w:ind w:left="400"/>
        <w:jc w:val="left"/>
      </w:pPr>
      <w:r>
        <w:rPr>
          <w:rFonts w:ascii="Malgun Gothic" w:cs="Malgun Gothic" w:eastAsia="Malgun Gothic" w:hAnsi="Malgun Gothic"/>
          <w:i/>
          <w:iCs/>
          <w:color w:val="555555"/>
          <w:sz w:val="22"/>
          <w:szCs w:val="22"/>
        </w:rPr>
        <w:t xml:space="preserve">이행 2건 완료로 협의회의 정기성과 내용 다양성은 확보되었으나, 형식 요소(참여도·접근성)의 미개선은 내용의 효과가 현장에 고르게 전달되지 못하는 구조적 한계로 남아 있다.</w:t>
      </w:r>
    </w:p>
    <w:p>
      <w:pPr>
        <w:spacing w:after="300" w:before="0"/>
      </w:pPr>
      <w:r>
        <w:t xml:space="preserve"/>
      </w:r>
    </w:p>
    <w:p>
      <w:pPr>
        <w:pBdr>
          <w:bottom w:val="single" w:color="2E5C8A" w:sz="8" w:space="4"/>
        </w:pBdr>
        <w:spacing w:after="180" w:before="400"/>
        <w:jc w:val="left"/>
      </w:pPr>
      <w:r>
        <w:rPr>
          <w:rFonts w:ascii="Malgun Gothic" w:cs="Malgun Gothic" w:eastAsia="Malgun Gothic" w:hAnsi="Malgun Gothic"/>
          <w:b/>
          <w:bCs/>
          <w:color w:val="1B4F72"/>
          <w:sz w:val="30"/>
          <w:szCs w:val="30"/>
        </w:rPr>
        <w:t xml:space="preserve">VII. 개선 과제</w:t>
      </w:r>
    </w:p>
    <w:p>
      <w:pPr>
        <w:spacing w:after="80" w:before="200"/>
        <w:jc w:val="left"/>
      </w:pPr>
      <w:r>
        <w:rPr>
          <w:rFonts w:ascii="Malgun Gothic" w:cs="Malgun Gothic" w:eastAsia="Malgun Gothic" w:hAnsi="Malgun Gothic"/>
          <w:b/>
          <w:bCs/>
          <w:i w:val="false"/>
          <w:iCs w:val="false"/>
          <w:color w:val="1B4F72"/>
          <w:sz w:val="24"/>
          <w:szCs w:val="24"/>
        </w:rPr>
        <w:t xml:space="preserve">과제 1. 소규모 기관 맞춤 온라인·소집단 운영 방식 도입</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200"/>
        <w:gridCol w:w="2800"/>
      </w:tblGrid>
      <w:tr>
        <w:trPr>
          <w:tblHeader/>
        </w:trPr>
        <w:tc>
          <w:tcPr>
            <w:tcW w:type="dxa" w:w="14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항목</w:t>
            </w:r>
          </w:p>
        </w:tc>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이번 결과</w:t>
            </w:r>
          </w:p>
        </w:tc>
        <w:tc>
          <w:tcPr>
            <w:tcW w:type="dxa" w:w="2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문제</w:t>
            </w:r>
          </w:p>
        </w:tc>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다음 회차 보완 방향</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현황</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전체 집합 대면 방식 단일 운영</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r>
      <w:tr>
        <w:tc>
          <w:tcPr>
            <w:tcW w:type="dxa" w:w="1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이번 결과</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소규모 기관 참여도 3.71점, 대규모 대비 0.41점 낮음</w:t>
            </w:r>
          </w:p>
        </w:tc>
        <w:tc>
          <w:tcPr>
            <w:tcW w:type="dxa" w:w="2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규모별 불균형</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형식 요소 개선 미시행</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문제</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단일 집합 방식은 소규모 기관의 참여 기회를 구조적으로 제한</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구조 문제</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접근성 배려 없음</w:t>
            </w:r>
          </w:p>
        </w:tc>
      </w:tr>
      <w:tr>
        <w:tc>
          <w:tcPr>
            <w:tcW w:type="dxa" w:w="1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보완 방향</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온라인 동시 참여 허용 + 소집단(10~15개 기관) 분리 운영 시범 도입</w:t>
            </w:r>
          </w:p>
        </w:tc>
        <w:tc>
          <w:tcPr>
            <w:tcW w:type="dxa" w:w="2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r>
    </w:tbl>
    <w:p>
      <w:pPr>
        <w:spacing w:after="100" w:before="0"/>
      </w:pPr>
      <w:r>
        <w:t xml:space="preserve"/>
      </w:r>
    </w:p>
    <w:p>
      <w:pPr>
        <w:spacing w:after="120" w:before="60"/>
        <w:jc w:val="left"/>
      </w:pPr>
      <w:r>
        <w:rPr>
          <w:rFonts w:ascii="Malgun Gothic" w:cs="Malgun Gothic" w:eastAsia="Malgun Gothic" w:hAnsi="Malgun Gothic"/>
          <w:b w:val="false"/>
          <w:bCs w:val="false"/>
          <w:i w:val="false"/>
          <w:iCs w:val="false"/>
          <w:color w:val="444444"/>
          <w:sz w:val="20"/>
          <w:szCs w:val="20"/>
        </w:rPr>
        <w:t xml:space="preserve">◆ 근거: 소규모 기관(34명) 참여도 3.71점 vs 대규모(15명) 4.12점, 0.41점 차이; 주관식 온라인 병행 13건·소집단 운영 11건 언급.</w:t>
      </w:r>
    </w:p>
    <w:p>
      <w:pPr>
        <w:spacing w:after="80" w:before="200"/>
        <w:jc w:val="left"/>
      </w:pPr>
      <w:r>
        <w:rPr>
          <w:rFonts w:ascii="Malgun Gothic" w:cs="Malgun Gothic" w:eastAsia="Malgun Gothic" w:hAnsi="Malgun Gothic"/>
          <w:b/>
          <w:bCs/>
          <w:i w:val="false"/>
          <w:iCs w:val="false"/>
          <w:color w:val="1B4F72"/>
          <w:sz w:val="24"/>
          <w:szCs w:val="24"/>
        </w:rPr>
        <w:t xml:space="preserve">과제 2. 사례 중심 안건 운영 및 안건 사전 공유 체계 구축</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200"/>
        <w:gridCol w:w="2800"/>
      </w:tblGrid>
      <w:tr>
        <w:trPr>
          <w:tblHeader/>
        </w:trPr>
        <w:tc>
          <w:tcPr>
            <w:tcW w:type="dxa" w:w="14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항목</w:t>
            </w:r>
          </w:p>
        </w:tc>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이번 결과</w:t>
            </w:r>
          </w:p>
        </w:tc>
        <w:tc>
          <w:tcPr>
            <w:tcW w:type="dxa" w:w="2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문제</w:t>
            </w:r>
          </w:p>
        </w:tc>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다음 회차 보완 방향</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현황</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안건 사전 공유 없이 당일 정보 전달 중심 운영</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r>
      <w:tr>
        <w:tc>
          <w:tcPr>
            <w:tcW w:type="dxa" w:w="1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이번 결과</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사례 중심 키워드 18건(전체 1위), 안건 사전공유 9건</w:t>
            </w:r>
          </w:p>
        </w:tc>
        <w:tc>
          <w:tcPr>
            <w:tcW w:type="dxa" w:w="2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준비 없는 즉흥 반응</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내용 효과 반감</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문제</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사전 안건 공유 없이 협의회 진행 — 상호작용 질적 저하</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구조 문제</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준비 체계 부재</w:t>
            </w:r>
          </w:p>
        </w:tc>
      </w:tr>
      <w:tr>
        <w:tc>
          <w:tcPr>
            <w:tcW w:type="dxa" w:w="1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보완 방향</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협의회 1주 전 안건 및 관련 자료 사전 배포, 사례 토론 세션 의무화</w:t>
            </w:r>
          </w:p>
        </w:tc>
        <w:tc>
          <w:tcPr>
            <w:tcW w:type="dxa" w:w="2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r>
    </w:tbl>
    <w:p>
      <w:pPr>
        <w:spacing w:after="100" w:before="0"/>
      </w:pPr>
      <w:r>
        <w:t xml:space="preserve"/>
      </w:r>
    </w:p>
    <w:p>
      <w:pPr>
        <w:spacing w:after="120" w:before="60"/>
        <w:jc w:val="left"/>
      </w:pPr>
      <w:r>
        <w:rPr>
          <w:rFonts w:ascii="Malgun Gothic" w:cs="Malgun Gothic" w:eastAsia="Malgun Gothic" w:hAnsi="Malgun Gothic"/>
          <w:b w:val="false"/>
          <w:bCs w:val="false"/>
          <w:i w:val="false"/>
          <w:iCs w:val="false"/>
          <w:color w:val="444444"/>
          <w:sz w:val="20"/>
          <w:szCs w:val="20"/>
        </w:rPr>
        <w:t xml:space="preserve">◆ 근거: 사례 중심 키워드 18건(Top 1), 안건 사전공유 9건(Top 6); 문제 해결 도움 3.79점으로 전 항목 최저.</w:t>
      </w:r>
    </w:p>
    <w:p>
      <w:pPr>
        <w:spacing w:after="80" w:before="200"/>
        <w:jc w:val="left"/>
      </w:pPr>
      <w:r>
        <w:rPr>
          <w:rFonts w:ascii="Malgun Gothic" w:cs="Malgun Gothic" w:eastAsia="Malgun Gothic" w:hAnsi="Malgun Gothic"/>
          <w:b/>
          <w:bCs/>
          <w:i w:val="false"/>
          <w:iCs w:val="false"/>
          <w:color w:val="1B4F72"/>
          <w:sz w:val="24"/>
          <w:szCs w:val="24"/>
        </w:rPr>
        <w:t xml:space="preserve">과제 3. 발언 기회 보장을 위한 운영 구조 재설계</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200"/>
        <w:gridCol w:w="2800"/>
      </w:tblGrid>
      <w:tr>
        <w:trPr>
          <w:tblHeader/>
        </w:trPr>
        <w:tc>
          <w:tcPr>
            <w:tcW w:type="dxa" w:w="14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항목</w:t>
            </w:r>
          </w:p>
        </w:tc>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이번 결과</w:t>
            </w:r>
          </w:p>
        </w:tc>
        <w:tc>
          <w:tcPr>
            <w:tcW w:type="dxa" w:w="2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문제</w:t>
            </w:r>
          </w:p>
        </w:tc>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2"/>
                <w:szCs w:val="22"/>
              </w:rPr>
              <w:t xml:space="preserve">다음 회차 보완 방향</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현황</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참여도·상호작용 3.88점, 형식 요소 중 최저</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r>
      <w:tr>
        <w:tc>
          <w:tcPr>
            <w:tcW w:type="dxa" w:w="1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이번 결과</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발언 기회 부족 8건, 참여 부담 15건 언급</w:t>
            </w:r>
          </w:p>
        </w:tc>
        <w:tc>
          <w:tcPr>
            <w:tcW w:type="dxa" w:w="2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일방 전달 구조</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상호작용 설계 없음</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문제</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전달자→수신자 일방 구조로 운영되어 상호 토론·질문 기회 제한</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운영 방식 문제</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참여형 설계 미시행</w:t>
            </w:r>
          </w:p>
        </w:tc>
      </w:tr>
      <w:tr>
        <w:tc>
          <w:tcPr>
            <w:tcW w:type="dxa" w:w="14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left"/>
            </w:pPr>
            <w:r>
              <w:rPr>
                <w:rFonts w:ascii="Malgun Gothic" w:cs="Malgun Gothic" w:eastAsia="Malgun Gothic" w:hAnsi="Malgun Gothic"/>
                <w:b w:val="false"/>
                <w:bCs w:val="false"/>
                <w:sz w:val="22"/>
                <w:szCs w:val="22"/>
              </w:rPr>
              <w:t xml:space="preserve">보완 방향</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기관별 1개 이상 발언 보장 구조 도입, 라운드 테이블 방식 시범 운영</w:t>
            </w:r>
          </w:p>
        </w:tc>
        <w:tc>
          <w:tcPr>
            <w:tcW w:type="dxa" w:w="22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c>
          <w:tcPr>
            <w:tcW w:type="dxa" w:w="280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vAlign w:val="center"/>
          </w:tcPr>
          <w:p>
            <w:pPr>
              <w:jc w:val="center"/>
            </w:pPr>
            <w:r>
              <w:rPr>
                <w:rFonts w:ascii="Malgun Gothic" w:cs="Malgun Gothic" w:eastAsia="Malgun Gothic" w:hAnsi="Malgun Gothic"/>
                <w:b w:val="false"/>
                <w:bCs w:val="false"/>
                <w:sz w:val="22"/>
                <w:szCs w:val="22"/>
              </w:rPr>
              <w:t xml:space="preserve">─</w:t>
            </w:r>
          </w:p>
        </w:tc>
      </w:tr>
    </w:tbl>
    <w:p>
      <w:pPr>
        <w:spacing w:after="100" w:before="0"/>
      </w:pPr>
      <w:r>
        <w:t xml:space="preserve"/>
      </w:r>
    </w:p>
    <w:p>
      <w:pPr>
        <w:spacing w:after="120" w:before="60"/>
        <w:jc w:val="left"/>
      </w:pPr>
      <w:r>
        <w:rPr>
          <w:rFonts w:ascii="Malgun Gothic" w:cs="Malgun Gothic" w:eastAsia="Malgun Gothic" w:hAnsi="Malgun Gothic"/>
          <w:b w:val="false"/>
          <w:bCs w:val="false"/>
          <w:i w:val="false"/>
          <w:iCs w:val="false"/>
          <w:color w:val="444444"/>
          <w:sz w:val="20"/>
          <w:szCs w:val="20"/>
        </w:rPr>
        <w:t xml:space="preserve">◆ 근거: 참여도·상호작용 3.88점(형식 요소 최저), 발언 기회 8건 주관식 언급; 소규모 기관 문제 해결 도움 3.58점으로 교차분석 연동.</w:t>
      </w:r>
    </w:p>
    <w:p>
      <w:pPr>
        <w:spacing w:after="20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left w:val="none"/>
              <w:bottom w:val="none"/>
              <w:right w:val="none"/>
            </w:tcBorders>
            <w:shd w:fill="1B4F72" w:val="clear"/>
            <w:tcMar>
              <w:top w:type="dxa" w:w="180"/>
              <w:left w:type="dxa" w:w="300"/>
              <w:bottom w:type="dxa" w:w="180"/>
              <w:right w:type="dxa" w:w="300"/>
            </w:tcMar>
          </w:tcPr>
          <w:p>
            <w:pPr>
              <w:spacing w:after="0" w:before="0"/>
            </w:pPr>
            <w:r>
              <w:rPr>
                <w:rFonts w:ascii="Malgun Gothic" w:cs="Malgun Gothic" w:eastAsia="Malgun Gothic" w:hAnsi="Malgun Gothic"/>
                <w:b/>
                <w:bCs/>
                <w:color w:val="FFFFFF"/>
                <w:sz w:val="24"/>
                <w:szCs w:val="24"/>
              </w:rPr>
              <w:t xml:space="preserve">■ 개선 과제 요약</w:t>
            </w:r>
          </w:p>
          <w:p>
            <w:pPr>
              <w:spacing w:after="0" w:before="80"/>
            </w:pPr>
            <w:r>
              <w:rPr>
                <w:rFonts w:ascii="Malgun Gothic" w:cs="Malgun Gothic" w:eastAsia="Malgun Gothic" w:hAnsi="Malgun Gothic"/>
                <w:b w:val="false"/>
                <w:bCs w:val="false"/>
                <w:color w:val="FFFFFF"/>
                <w:sz w:val="22"/>
                <w:szCs w:val="22"/>
              </w:rPr>
              <w:t xml:space="preserve">과제 1 | 온라인·소집단 운영 도입 — 소규모 기관 참여도 0.41점 차이, 온라인 병행 13건·소집단 11건</w:t>
            </w:r>
          </w:p>
          <w:p>
            <w:pPr>
              <w:spacing w:after="0" w:before="80"/>
            </w:pPr>
            <w:r>
              <w:rPr>
                <w:rFonts w:ascii="Malgun Gothic" w:cs="Malgun Gothic" w:eastAsia="Malgun Gothic" w:hAnsi="Malgun Gothic"/>
                <w:b w:val="false"/>
                <w:bCs w:val="false"/>
                <w:color w:val="FFFFFF"/>
                <w:sz w:val="22"/>
                <w:szCs w:val="22"/>
              </w:rPr>
              <w:t xml:space="preserve">과제 2 | 사례 중심 안건 체계화 — 사례 중심 키워드 18건(Top 1), 문제 해결 도움 3.79점(전체 최저)</w:t>
            </w:r>
          </w:p>
          <w:p>
            <w:pPr>
              <w:spacing w:after="0" w:before="80"/>
            </w:pPr>
            <w:r>
              <w:rPr>
                <w:rFonts w:ascii="Malgun Gothic" w:cs="Malgun Gothic" w:eastAsia="Malgun Gothic" w:hAnsi="Malgun Gothic"/>
                <w:b w:val="false"/>
                <w:bCs w:val="false"/>
                <w:color w:val="FFFFFF"/>
                <w:sz w:val="22"/>
                <w:szCs w:val="22"/>
              </w:rPr>
              <w:t xml:space="preserve">과제 3 | 발언 기회 보장 구조 — 참여도 3.88점(형식 최저), 발언 기회 부족 8건 언급</w:t>
            </w:r>
          </w:p>
        </w:tc>
      </w:tr>
    </w:tbl>
    <w:p>
      <w:pPr>
        <w:spacing w:after="300" w:before="0"/>
      </w:pPr>
      <w:r>
        <w:t xml:space="preserve"/>
      </w:r>
    </w:p>
    <w:p>
      <w:pPr>
        <w:pBdr>
          <w:bottom w:val="single" w:color="2E5C8A" w:sz="8" w:space="4"/>
        </w:pBdr>
        <w:spacing w:after="180" w:before="400"/>
        <w:jc w:val="left"/>
      </w:pPr>
      <w:r>
        <w:rPr>
          <w:rFonts w:ascii="Malgun Gothic" w:cs="Malgun Gothic" w:eastAsia="Malgun Gothic" w:hAnsi="Malgun Gothic"/>
          <w:b/>
          <w:bCs/>
          <w:color w:val="1B4F72"/>
          <w:sz w:val="30"/>
          <w:szCs w:val="30"/>
        </w:rPr>
        <w:t xml:space="preserve">VIII. 요약</w:t>
      </w:r>
    </w:p>
    <w:p>
      <w:pPr>
        <w:pBdr>
          <w:left w:val="thick" w:color="2E5C8A" w:sz="12" w:space="10"/>
        </w:pBdr>
        <w:shd w:fill="EBF5FB" w:val="clear"/>
        <w:spacing w:after="120" w:before="120"/>
        <w:ind w:left="300"/>
        <w:jc w:val="left"/>
      </w:pPr>
      <w:r>
        <w:rPr>
          <w:rFonts w:ascii="Malgun Gothic" w:cs="Malgun Gothic" w:eastAsia="Malgun Gothic" w:hAnsi="Malgun Gothic"/>
          <w:b w:val="false"/>
          <w:bCs w:val="false"/>
          <w:sz w:val="22"/>
          <w:szCs w:val="22"/>
        </w:rPr>
        <w:t xml:space="preserve">【 종합 만족도 】 4.15점 / 85.1% 긍정 — 협의회 전반 운영 양호</w:t>
      </w:r>
      <w:r>
        <w:rPr>
          <w:rFonts w:ascii="Malgun Gothic" w:cs="Malgun Gothic" w:eastAsia="Malgun Gothic" w:hAnsi="Malgun Gothic"/>
          <w:b w:val="false"/>
          <w:bCs w:val="false"/>
          <w:sz w:val="22"/>
          <w:szCs w:val="22"/>
        </w:rPr>
        <w:t xml:space="preserve">
【 내용 요소 】 평균 4.17점 — 정보 공유 효과 88.5%로 최고</w:t>
      </w:r>
      <w:r>
        <w:rPr>
          <w:rFonts w:ascii="Malgun Gothic" w:cs="Malgun Gothic" w:eastAsia="Malgun Gothic" w:hAnsi="Malgun Gothic"/>
          <w:b w:val="false"/>
          <w:bCs w:val="false"/>
          <w:sz w:val="22"/>
          <w:szCs w:val="22"/>
        </w:rPr>
        <w:t xml:space="preserve">
【 형식 요소 】 평균 3.92점 — 참여도 75.9%로 80% 기준선 미달</w:t>
      </w:r>
      <w:r>
        <w:rPr>
          <w:rFonts w:ascii="Malgun Gothic" w:cs="Malgun Gothic" w:eastAsia="Malgun Gothic" w:hAnsi="Malgun Gothic"/>
          <w:b w:val="false"/>
          <w:bCs w:val="false"/>
          <w:sz w:val="22"/>
          <w:szCs w:val="22"/>
        </w:rPr>
        <w:t xml:space="preserve">
【 균형 갭 】 내용(4.17) vs 형식(3.92) — 0.25점 불균형 확인</w:t>
      </w:r>
      <w:r>
        <w:rPr>
          <w:rFonts w:ascii="Malgun Gothic" w:cs="Malgun Gothic" w:eastAsia="Malgun Gothic" w:hAnsi="Malgun Gothic"/>
          <w:b w:val="false"/>
          <w:bCs w:val="false"/>
          <w:sz w:val="22"/>
          <w:szCs w:val="22"/>
        </w:rPr>
        <w:t xml:space="preserve">
【 교차분석 】 소규모 기관 참여도 3.71 vs 대규모 4.12 — 0.41점 차이</w:t>
      </w:r>
      <w:r>
        <w:rPr>
          <w:rFonts w:ascii="Malgun Gothic" w:cs="Malgun Gothic" w:eastAsia="Malgun Gothic" w:hAnsi="Malgun Gothic"/>
          <w:b w:val="false"/>
          <w:bCs w:val="false"/>
          <w:sz w:val="22"/>
          <w:szCs w:val="22"/>
        </w:rPr>
        <w:t xml:space="preserve">
【 주관식 1위 키워드 】 사례 중심 (18건) — 운영 구조 전환 요구</w:t>
      </w:r>
      <w:r>
        <w:rPr>
          <w:rFonts w:ascii="Malgun Gothic" w:cs="Malgun Gothic" w:eastAsia="Malgun Gothic" w:hAnsi="Malgun Gothic"/>
          <w:b w:val="false"/>
          <w:bCs w:val="false"/>
          <w:sz w:val="22"/>
          <w:szCs w:val="22"/>
        </w:rPr>
        <w:t xml:space="preserve">
【 개선 핵심 】 온라인·소집단 도입 | 사전 안건 공유 체계화 | 발언 기회 보장</w:t>
      </w:r>
    </w:p>
    <w:p>
      <w:pPr>
        <w:spacing w:after="300" w:before="0"/>
      </w:pPr>
      <w:r>
        <w:t xml:space="preserve"/>
      </w:r>
    </w:p>
    <w:p>
      <w:pPr>
        <w:pBdr>
          <w:bottom w:val="single" w:color="2E5C8A" w:sz="8" w:space="4"/>
        </w:pBdr>
        <w:spacing w:after="180" w:before="400"/>
        <w:jc w:val="left"/>
      </w:pPr>
      <w:r>
        <w:rPr>
          <w:rFonts w:ascii="Malgun Gothic" w:cs="Malgun Gothic" w:eastAsia="Malgun Gothic" w:hAnsi="Malgun Gothic"/>
          <w:b/>
          <w:bCs/>
          <w:color w:val="1B4F72"/>
          <w:sz w:val="30"/>
          <w:szCs w:val="30"/>
        </w:rPr>
        <w:t xml:space="preserve">IX. 근거문장</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5C8A" w:sz="2"/>
              <w:left w:val="thick" w:color="2E5C8A" w:sz="12"/>
              <w:bottom w:val="single" w:color="2E5C8A" w:sz="2"/>
              <w:right w:val="none"/>
            </w:tcBorders>
            <w:shd w:fill="EBF5FB" w:val="clear"/>
            <w:tcMar>
              <w:top w:type="dxa" w:w="140"/>
              <w:left w:type="dxa" w:w="240"/>
              <w:bottom w:type="dxa" w:w="140"/>
              <w:right w:type="dxa" w:w="240"/>
            </w:tcMar>
          </w:tcPr>
          <w:p>
            <w:pPr>
              <w:spacing w:after="0" w:before="0"/>
            </w:pPr>
            <w:r>
              <w:rPr>
                <w:rFonts w:ascii="Malgun Gothic" w:cs="Malgun Gothic" w:eastAsia="Malgun Gothic" w:hAnsi="Malgun Gothic"/>
                <w:b/>
                <w:bCs/>
                <w:sz w:val="22"/>
                <w:szCs w:val="22"/>
              </w:rPr>
              <w:t xml:space="preserve">【 근거문장 1 — 만족도 】</w:t>
            </w:r>
          </w:p>
          <w:p>
            <w:pPr>
              <w:spacing w:after="0" w:before="60"/>
            </w:pPr>
            <w:r>
              <w:rPr>
                <w:rFonts w:ascii="Malgun Gothic" w:cs="Malgun Gothic" w:eastAsia="Malgun Gothic" w:hAnsi="Malgun Gothic"/>
                <w:b w:val="false"/>
                <w:bCs w:val="false"/>
                <w:sz w:val="22"/>
                <w:szCs w:val="22"/>
              </w:rPr>
              <w:t xml:space="preserve">2025년 상반기 현장설문 결과, J07 실무협의회 참여자의 85.1%가 종합 만족도 긍정 응답을 보여 협의회 운영 전반의 기반이 양호하게 유지되고 있음을 확인하여, 정기 운영 체계를 유지하면서 운영 방식 개선을 병행한다.</w:t>
            </w:r>
          </w:p>
        </w:tc>
      </w:tr>
    </w:tbl>
    <w:p>
      <w:pPr>
        <w:spacing w:after="10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5C8A" w:sz="2"/>
              <w:left w:val="thick" w:color="2E5C8A" w:sz="12"/>
              <w:bottom w:val="single" w:color="2E5C8A" w:sz="2"/>
              <w:right w:val="none"/>
            </w:tcBorders>
            <w:shd w:fill="EBF5FB" w:val="clear"/>
            <w:tcMar>
              <w:top w:type="dxa" w:w="140"/>
              <w:left w:type="dxa" w:w="240"/>
              <w:bottom w:type="dxa" w:w="140"/>
              <w:right w:type="dxa" w:w="240"/>
            </w:tcMar>
          </w:tcPr>
          <w:p>
            <w:pPr>
              <w:spacing w:after="0" w:before="0"/>
            </w:pPr>
            <w:r>
              <w:rPr>
                <w:rFonts w:ascii="Malgun Gothic" w:cs="Malgun Gothic" w:eastAsia="Malgun Gothic" w:hAnsi="Malgun Gothic"/>
                <w:b/>
                <w:bCs/>
                <w:sz w:val="22"/>
                <w:szCs w:val="22"/>
              </w:rPr>
              <w:t xml:space="preserve">【 근거문장 2 — 약점 】</w:t>
            </w:r>
          </w:p>
          <w:p>
            <w:pPr>
              <w:spacing w:after="0" w:before="60"/>
            </w:pPr>
            <w:r>
              <w:rPr>
                <w:rFonts w:ascii="Malgun Gothic" w:cs="Malgun Gothic" w:eastAsia="Malgun Gothic" w:hAnsi="Malgun Gothic"/>
                <w:b w:val="false"/>
                <w:bCs w:val="false"/>
                <w:sz w:val="22"/>
                <w:szCs w:val="22"/>
              </w:rPr>
              <w:t xml:space="preserve">2025년 상반기 현장설문 결과, 형식 요소(운영 방식·참여도) 평균이 3.92점으로 내용 요소(4.17점) 대비 0.25점 낮고 문제 해결 도움이 3.79점으로 전 항목 최저를 기록하여 형식 요소 약점이 성과 저하로 이어지는 경로가 확인되어, 온라인 병행 및 발언 기회 보장 구조 개선을 추진한다.</w:t>
            </w:r>
          </w:p>
        </w:tc>
      </w:tr>
    </w:tbl>
    <w:p>
      <w:pPr>
        <w:spacing w:after="10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5C8A" w:sz="2"/>
              <w:left w:val="thick" w:color="2E5C8A" w:sz="12"/>
              <w:bottom w:val="single" w:color="2E5C8A" w:sz="2"/>
              <w:right w:val="none"/>
            </w:tcBorders>
            <w:shd w:fill="EBF5FB" w:val="clear"/>
            <w:tcMar>
              <w:top w:type="dxa" w:w="140"/>
              <w:left w:type="dxa" w:w="240"/>
              <w:bottom w:type="dxa" w:w="140"/>
              <w:right w:type="dxa" w:w="240"/>
            </w:tcMar>
          </w:tcPr>
          <w:p>
            <w:pPr>
              <w:spacing w:after="0" w:before="0"/>
            </w:pPr>
            <w:r>
              <w:rPr>
                <w:rFonts w:ascii="Malgun Gothic" w:cs="Malgun Gothic" w:eastAsia="Malgun Gothic" w:hAnsi="Malgun Gothic"/>
                <w:b/>
                <w:bCs/>
                <w:sz w:val="22"/>
                <w:szCs w:val="22"/>
              </w:rPr>
              <w:t xml:space="preserve">【 근거문장 3 — 경로 효과 】</w:t>
            </w:r>
          </w:p>
          <w:p>
            <w:pPr>
              <w:spacing w:after="0" w:before="60"/>
            </w:pPr>
            <w:r>
              <w:rPr>
                <w:rFonts w:ascii="Malgun Gothic" w:cs="Malgun Gothic" w:eastAsia="Malgun Gothic" w:hAnsi="Malgun Gothic"/>
                <w:b w:val="false"/>
                <w:bCs w:val="false"/>
                <w:sz w:val="22"/>
                <w:szCs w:val="22"/>
              </w:rPr>
              <w:t xml:space="preserve">2025년 상반기 현장설문 결과, 소규모 기관(20인 이하, 34명)의 참여도가 3.71점으로 대규모 기관(4.12점) 대비 0.41점 낮아 기관 규모가 협의회 활용도를 결정하는 구조적 불균형이 확인되어, 소집단 분리 운영 및 온라인 동시 참여 도입을 추진한다.</w:t>
            </w:r>
          </w:p>
        </w:tc>
      </w:tr>
    </w:tbl>
    <w:p>
      <w:pPr>
        <w:spacing w:after="10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5C8A" w:sz="2"/>
              <w:left w:val="thick" w:color="2E5C8A" w:sz="12"/>
              <w:bottom w:val="single" w:color="2E5C8A" w:sz="2"/>
              <w:right w:val="none"/>
            </w:tcBorders>
            <w:shd w:fill="EBF5FB" w:val="clear"/>
            <w:tcMar>
              <w:top w:type="dxa" w:w="140"/>
              <w:left w:type="dxa" w:w="240"/>
              <w:bottom w:type="dxa" w:w="140"/>
              <w:right w:type="dxa" w:w="240"/>
            </w:tcMar>
          </w:tcPr>
          <w:p>
            <w:pPr>
              <w:spacing w:after="0" w:before="0"/>
            </w:pPr>
            <w:r>
              <w:rPr>
                <w:rFonts w:ascii="Malgun Gothic" w:cs="Malgun Gothic" w:eastAsia="Malgun Gothic" w:hAnsi="Malgun Gothic"/>
                <w:b/>
                <w:bCs/>
                <w:sz w:val="22"/>
                <w:szCs w:val="22"/>
              </w:rPr>
              <w:t xml:space="preserve">【 근거문장 4 — 이행 환류 】</w:t>
            </w:r>
          </w:p>
          <w:p>
            <w:pPr>
              <w:spacing w:after="0" w:before="60"/>
            </w:pPr>
            <w:r>
              <w:rPr>
                <w:rFonts w:ascii="Malgun Gothic" w:cs="Malgun Gothic" w:eastAsia="Malgun Gothic" w:hAnsi="Malgun Gothic"/>
                <w:b w:val="false"/>
                <w:bCs w:val="false"/>
                <w:sz w:val="22"/>
                <w:szCs w:val="22"/>
              </w:rPr>
              <w:t xml:space="preserve">2025년 상반기 통합설문 결과 업무 과중률 44.3%가 확인되어 협의회 정기 운영 및 안건 다양화를 이행하였으나, 소규모 기관 참여율 제고 및 온라인 병행은 미개선으로 남아 차기 사업계획에 반영한다.</w:t>
            </w:r>
          </w:p>
        </w:tc>
      </w:tr>
    </w:tbl>
    <w:p>
      <w:pPr>
        <w:spacing w:after="10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5C8A" w:sz="2"/>
              <w:left w:val="thick" w:color="2E5C8A" w:sz="12"/>
              <w:bottom w:val="single" w:color="2E5C8A" w:sz="2"/>
              <w:right w:val="none"/>
            </w:tcBorders>
            <w:shd w:fill="EBF5FB" w:val="clear"/>
            <w:tcMar>
              <w:top w:type="dxa" w:w="140"/>
              <w:left w:type="dxa" w:w="240"/>
              <w:bottom w:type="dxa" w:w="140"/>
              <w:right w:type="dxa" w:w="240"/>
            </w:tcMar>
          </w:tcPr>
          <w:p>
            <w:pPr>
              <w:spacing w:after="0" w:before="0"/>
            </w:pPr>
            <w:r>
              <w:rPr>
                <w:rFonts w:ascii="Malgun Gothic" w:cs="Malgun Gothic" w:eastAsia="Malgun Gothic" w:hAnsi="Malgun Gothic"/>
                <w:b/>
                <w:bCs/>
                <w:sz w:val="22"/>
                <w:szCs w:val="22"/>
              </w:rPr>
              <w:t xml:space="preserve">【 근거문장 5 — 사후 환류 】</w:t>
            </w:r>
          </w:p>
          <w:p>
            <w:pPr>
              <w:spacing w:after="0" w:before="60"/>
            </w:pPr>
            <w:r>
              <w:rPr>
                <w:rFonts w:ascii="Malgun Gothic" w:cs="Malgun Gothic" w:eastAsia="Malgun Gothic" w:hAnsi="Malgun Gothic"/>
                <w:b w:val="false"/>
                <w:bCs w:val="false"/>
                <w:sz w:val="22"/>
                <w:szCs w:val="22"/>
              </w:rPr>
              <w:t xml:space="preserve">2025년 상반기 현장설문 결과, 사례 중심 키워드가 18건(전체 1위)으로 확인되고 안건 사전 공유 요구가 9건 제기됨에 따라, 협의회 1주 전 안건 및 자료 사전 배포 체계와 사례 토론 세션 의무화를 추진한다.</w:t>
            </w:r>
          </w:p>
        </w:tc>
      </w:tr>
    </w:tbl>
    <w:p>
      <w:pPr>
        <w:spacing w:after="300" w:before="0"/>
      </w:pPr>
      <w:r>
        <w:t xml:space="preserve"/>
      </w:r>
    </w:p>
    <w:sectPr>
      <w:pgSz w:w="11906" w:h="16838" w:orient="portrait"/>
      <w:pgMar w:top="12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1cf4562db5b95594e59fd95f35541d0b57288f4.png"/><Relationship Id="rId8" Type="http://schemas.openxmlformats.org/officeDocument/2006/relationships/image" Target="media/6d348b847d9a2c75ef9448cd7be8b4fabac487eb.png"/><Relationship Id="rId9" Type="http://schemas.openxmlformats.org/officeDocument/2006/relationships/image" Target="media/4ed3bcecf503a71fbbad0c547251766a894ee308.png"/><Relationship Id="rId10" Type="http://schemas.openxmlformats.org/officeDocument/2006/relationships/image" Target="media/bba1e89fb760310f024132a9c81ee6fd305a2992.png"/><Relationship Id="rId11" Type="http://schemas.openxmlformats.org/officeDocument/2006/relationships/image" Target="media/d57278c07d976174574896993b4c395f62712dac.png"/><Relationship Id="rId12" Type="http://schemas.openxmlformats.org/officeDocument/2006/relationships/image" Target="media/6541d8b1c01814f537aaba694771937007ea49e5.png"/><Relationship Id="rId13" Type="http://schemas.openxmlformats.org/officeDocument/2006/relationships/image" Target="media/7b1304f6b01f46551ec292b580b63389eeff0736.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2026-04-10T04:45:53.596Z</dcterms:created>
  <dcterms:modified xsi:type="dcterms:W3CDTF">2026-04-10T04:45:53.597Z</dcterms:modified>
</cp:coreProperties>
</file>

<file path=docProps/custom.xml><?xml version="1.0" encoding="utf-8"?>
<Properties xmlns="http://schemas.openxmlformats.org/officeDocument/2006/custom-properties" xmlns:vt="http://schemas.openxmlformats.org/officeDocument/2006/docPropsVTypes"/>
</file>