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40" w:rsidRDefault="00E0181B">
      <w:r>
        <w:t>Стены домов способны сохранять память о событиях, которые в них происходили. Наше общение с близкими, повседневные разговоры, ссоры, объяснения в любви, радости и огорчения, тревоги и надежды - весь эмоциональный фон быта ложится незримым отпечатком на поблекшую штукатурку либо заплесневелые панели и ,при определённых условиях, способен воспроизводиться в фоне зрительных образов.(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</w:p>
    <w:p w:rsidR="00E0181B" w:rsidRDefault="00E0181B">
      <w:r>
        <w:rPr>
          <w:noProof/>
          <w:lang w:eastAsia="ru-RU"/>
        </w:rPr>
        <w:drawing>
          <wp:inline distT="0" distB="0" distL="0" distR="0">
            <wp:extent cx="5939790" cy="7146925"/>
            <wp:effectExtent l="19050" t="0" r="381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4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81B" w:rsidSect="00B15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0181B"/>
    <w:rsid w:val="00B15040"/>
    <w:rsid w:val="00E01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1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2021-02-03T11:25:00Z</dcterms:created>
  <dcterms:modified xsi:type="dcterms:W3CDTF">2021-02-03T11:26:00Z</dcterms:modified>
</cp:coreProperties>
</file>