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Optimal Market Making for Cryptocurrency Options</w:t>
      </w:r>
    </w:p>
    <w:p>
      <w:pPr>
        <w:pStyle w:val="Subtitle"/>
      </w:pPr>
      <w:r>
        <w:t xml:space="preserve">The Avellaneda–Stoikov Framework and its Extension to Options</w:t>
      </w:r>
    </w:p>
    <w:p>
      <w:pPr>
        <w:pStyle w:val="Author"/>
      </w:pPr>
      <w:r>
        <w:t xml:space="preserve">North Carolina State University · Financial Mathematics</w:t>
      </w:r>
    </w:p>
    <w:p>
      <w:pPr>
        <w:pStyle w:val="Date"/>
      </w:pPr>
      <w:r>
        <w:t xml:space="preserve">Summer 2026</w:t>
      </w:r>
    </w:p>
    <w:p>
      <w:pPr>
        <w:pStyle w:val="FirstParagraph"/>
      </w:pPr>
      <w:r>
        <w:drawing>
          <wp:inline>
            <wp:extent cx="2377440" cy="3742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ncs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7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X8a8a2dcdd178724403e2feb18c0f9ff887894f0"/>
    <w:p>
      <w:pPr>
        <w:pStyle w:val="Heading1"/>
      </w:pPr>
      <w:r>
        <w:t xml:space="preserve">Optimal Market Making for Cryptocurrency Options</w:t>
      </w:r>
    </w:p>
    <w:p>
      <w:pPr>
        <w:pStyle w:val="FirstParagraph"/>
      </w:pPr>
      <w:r>
        <w:rPr>
          <w:b/>
          <w:bCs/>
        </w:rPr>
        <w:t xml:space="preserve">The Avellaneda–Stoikov Framework and its Extension to Options</w:t>
      </w:r>
    </w:p>
    <w:p>
      <w:pPr>
        <w:pStyle w:val="BodyText"/>
      </w:pPr>
      <w:r>
        <w:t xml:space="preserve">A 10-Week Summer Research Program</w:t>
      </w:r>
    </w:p>
    <w:p>
      <w:pPr>
        <w:pStyle w:val="BodyText"/>
      </w:pPr>
      <w:r>
        <w:t xml:space="preserve">North Carolina State University — Department of Mathematics</w:t>
      </w:r>
    </w:p>
    <w:p>
      <w:pPr>
        <w:pStyle w:val="BodyText"/>
      </w:pPr>
      <w:r>
        <w:rPr>
          <w:b/>
          <w:bCs/>
        </w:rPr>
        <w:t xml:space="preserve">Industry Mentor:</w:t>
      </w:r>
      <w:r>
        <w:t xml:space="preserve"> </w:t>
      </w:r>
      <w:r>
        <w:t xml:space="preserve">Dendi Suhubdy —</w:t>
      </w:r>
      <w:r>
        <w:t xml:space="preserve"> </w:t>
      </w:r>
      <w:r>
        <w:rPr>
          <w:i/>
          <w:iCs/>
        </w:rPr>
        <w:t xml:space="preserve">Bitwyre</w:t>
      </w:r>
      <w:r>
        <w:t xml:space="preserve">, San Francisco</w:t>
      </w:r>
    </w:p>
    <w:p>
      <w:pPr>
        <w:pStyle w:val="BodyText"/>
      </w:pPr>
      <w:r>
        <w:rPr>
          <w:b/>
          <w:bCs/>
        </w:rPr>
        <w:t xml:space="preserve">Guest Practitioner:</w:t>
      </w:r>
      <w:r>
        <w:t xml:space="preserve"> </w:t>
      </w:r>
      <w:r>
        <w:t xml:space="preserve">Fenni Kang — Chief Strategy Officer,</w:t>
      </w:r>
      <w:r>
        <w:t xml:space="preserve"> </w:t>
      </w:r>
      <w:r>
        <w:rPr>
          <w:i/>
          <w:iCs/>
        </w:rPr>
        <w:t xml:space="preserve">Coincall</w:t>
      </w:r>
    </w:p>
    <w:p>
      <w:pPr>
        <w:pStyle w:val="BodyText"/>
      </w:pPr>
      <w:r>
        <w:t xml:space="preserve">Edition: 2026</w:t>
      </w:r>
    </w:p>
    <w:p>
      <w:r>
        <w:pict>
          <v:rect style="width:0;height:1.5pt" o:hralign="center" o:hrstd="t" o:hr="t"/>
        </w:pict>
      </w:r>
    </w:p>
    <w:bookmarkStart w:id="19" w:name="course-overview"/>
    <w:p>
      <w:pPr>
        <w:pStyle w:val="Heading2"/>
      </w:pPr>
      <w:r>
        <w:t xml:space="preserve">1. Course Overview</w:t>
      </w:r>
    </w:p>
    <w:p>
      <w:pPr>
        <w:pStyle w:val="FirstParagraph"/>
      </w:pPr>
      <w:r>
        <w:t xml:space="preserve">This ten-week summer research program prepares students in the North</w:t>
      </w:r>
      <w:r>
        <w:t xml:space="preserve"> </w:t>
      </w:r>
      <w:r>
        <w:t xml:space="preserve">Carolina State University Financial Mathematics graduate program to</w:t>
      </w:r>
      <w:r>
        <w:t xml:space="preserve"> </w:t>
      </w:r>
      <w:r>
        <w:t xml:space="preserve">design, implement, and evaluate optimal market making strategies for</w:t>
      </w:r>
      <w:r>
        <w:t xml:space="preserve"> </w:t>
      </w:r>
      <w:r>
        <w:t xml:space="preserve">cryptocurrency options. The program is organized around the</w:t>
      </w:r>
      <w:r>
        <w:t xml:space="preserve"> </w:t>
      </w:r>
      <w:r>
        <w:rPr>
          <w:b/>
          <w:bCs/>
        </w:rPr>
        <w:t xml:space="preserve">Avellaneda–Stoikov framework</w:t>
      </w:r>
      <w:r>
        <w:t xml:space="preserve">, the foundational stochastic-control</w:t>
      </w:r>
      <w:r>
        <w:t xml:space="preserve"> </w:t>
      </w:r>
      <w:r>
        <w:t xml:space="preserve">approach to optimal liquidity provision. The central pedagogical question</w:t>
      </w:r>
      <w:r>
        <w:t xml:space="preserve"> </w:t>
      </w:r>
      <w:r>
        <w:t xml:space="preserve">is how to extend Avellaneda–Stoikov, which was originally formulated for</w:t>
      </w:r>
      <w:r>
        <w:t xml:space="preserve"> </w:t>
      </w:r>
      <w:r>
        <w:t xml:space="preserve">a single linear instrument, to non-linear derivatives whose inventory</w:t>
      </w:r>
      <w:r>
        <w:t xml:space="preserve"> </w:t>
      </w:r>
      <w:r>
        <w:t xml:space="preserve">risk is multi-dimensional in the Greeks. A dedicated advanced week treats</w:t>
      </w:r>
      <w:r>
        <w:t xml:space="preserve"> </w:t>
      </w:r>
      <w:r>
        <w:t xml:space="preserve">extensions of Avellaneda–Stoikov to the multi-asset, adverse-selection,</w:t>
      </w:r>
      <w:r>
        <w:t xml:space="preserve"> </w:t>
      </w:r>
      <w:r>
        <w:t xml:space="preserve">discrete-inventory, signal-driven, and robust settings.</w:t>
      </w:r>
    </w:p>
    <w:p>
      <w:pPr>
        <w:pStyle w:val="BodyText"/>
      </w:pPr>
      <w:r>
        <w:t xml:space="preserve">Week 1 was an</w:t>
      </w:r>
      <w:r>
        <w:t xml:space="preserve"> </w:t>
      </w:r>
      <w:r>
        <w:rPr>
          <w:b/>
          <w:bCs/>
        </w:rPr>
        <w:t xml:space="preserve">introduction week</w:t>
      </w:r>
      <w:r>
        <w:t xml:space="preserve">, delivered last week: it covered the</w:t>
      </w:r>
      <w:r>
        <w:t xml:space="preserve"> </w:t>
      </w:r>
      <w:r>
        <w:t xml:space="preserve">program goals, the development environment, the Coincall datasets, and</w:t>
      </w:r>
      <w:r>
        <w:t xml:space="preserve"> </w:t>
      </w:r>
      <w:r>
        <w:t xml:space="preserve">the logistics described in Sections 1.5–1.7. The nine technical weeks</w:t>
      </w:r>
      <w:r>
        <w:t xml:space="preserve"> </w:t>
      </w:r>
      <w:r>
        <w:t xml:space="preserve">that follow (Weeks 2–10) are the substance of this syllabus.</w:t>
      </w:r>
    </w:p>
    <w:p>
      <w:pPr>
        <w:pStyle w:val="BodyText"/>
      </w:pPr>
      <w:r>
        <w:t xml:space="preserve">The program is mentored by Dendi Suhubdy and includes two guest sessions</w:t>
      </w:r>
      <w:r>
        <w:t xml:space="preserve"> </w:t>
      </w:r>
      <w:r>
        <w:t xml:space="preserve">from Fenni Kang, Chief Strategy Officer at Coincall, on</w:t>
      </w:r>
      <w:r>
        <w:t xml:space="preserve"> </w:t>
      </w:r>
      <w:r>
        <w:rPr>
          <w:b/>
          <w:bCs/>
        </w:rPr>
        <w:t xml:space="preserve">taker</w:t>
      </w:r>
      <w:r>
        <w:rPr>
          <w:b/>
          <w:bCs/>
        </w:rP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(Week 9) and on the</w:t>
      </w:r>
      <w:r>
        <w:t xml:space="preserve"> </w:t>
      </w:r>
      <w:r>
        <w:rPr>
          <w:b/>
          <w:bCs/>
        </w:rPr>
        <w:t xml:space="preserve">corporate usage of options and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structured products</w:t>
      </w:r>
      <w:r>
        <w:t xml:space="preserve"> </w:t>
      </w:r>
      <w:r>
        <w:t xml:space="preserve">(Week 10). Students will work with live and</w:t>
      </w:r>
      <w:r>
        <w:t xml:space="preserve"> </w:t>
      </w:r>
      <w:r>
        <w:t xml:space="preserve">historical Coincall data throughout the program and will produce a</w:t>
      </w:r>
      <w:r>
        <w:t xml:space="preserve"> </w:t>
      </w:r>
      <w:r>
        <w:t xml:space="preserve">research-grade final report and code repository suitable for further</w:t>
      </w:r>
      <w:r>
        <w:t xml:space="preserve"> </w:t>
      </w:r>
      <w:r>
        <w:t xml:space="preserve">academic or industry use.</w:t>
      </w:r>
    </w:p>
    <w:bookmarkStart w:id="12" w:name="implementation-languages"/>
    <w:p>
      <w:pPr>
        <w:pStyle w:val="Heading3"/>
      </w:pPr>
      <w:r>
        <w:t xml:space="preserve">1.1 Implementation Languages</w:t>
      </w:r>
    </w:p>
    <w:p>
      <w:pPr>
        <w:pStyle w:val="FirstParagraph"/>
      </w:pPr>
      <w:r>
        <w:t xml:space="preserve">The program uses a deliberate two-language split, and students should</w:t>
      </w:r>
      <w:r>
        <w:t xml:space="preserve"> </w:t>
      </w:r>
      <w:r>
        <w:t xml:space="preserve">understand the rationale: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Problem sets are written in Python</w:t>
      </w:r>
      <w:r>
        <w:t xml:space="preserve">, using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as the</w:t>
      </w:r>
      <w:r>
        <w:t xml:space="preserve"> </w:t>
      </w:r>
      <w:r>
        <w:t xml:space="preserve">numerical engine. PyTorch is chosen so that</w:t>
      </w:r>
      <w:r>
        <w:t xml:space="preserve"> </w:t>
      </w:r>
      <w:r>
        <w:rPr>
          <w:i/>
          <w:iCs/>
        </w:rPr>
        <w:t xml:space="preserve">differentiation is handled</w:t>
      </w:r>
      <w:r>
        <w:rPr>
          <w:i/>
          <w:iCs/>
        </w:rPr>
        <w:t xml:space="preserve"> </w:t>
      </w:r>
      <w:r>
        <w:rPr>
          <w:i/>
          <w:iCs/>
        </w:rPr>
        <w:t xml:space="preserve">implicitly by autograd</w:t>
      </w:r>
      <w:r>
        <w:t xml:space="preserve">: students compute option Greeks, calibrate</w:t>
      </w:r>
      <w:r>
        <w:t xml:space="preserve"> </w:t>
      </w:r>
      <w:r>
        <w:t xml:space="preserve">surfaces, and fit intensities by writing the forward computation only</w:t>
      </w:r>
      <w:r>
        <w:t xml:space="preserve"> </w:t>
      </w:r>
      <w:r>
        <w:t xml:space="preserve">and letting</w:t>
      </w:r>
      <w:r>
        <w:t xml:space="preserve"> </w:t>
      </w:r>
      <w:r>
        <w:rPr>
          <w:rStyle w:val="VerbatimChar"/>
        </w:rPr>
        <w:t xml:space="preserve">.backward()</w:t>
      </w:r>
      <w:r>
        <w:t xml:space="preserve"> </w:t>
      </w:r>
      <w:r>
        <w:t xml:space="preserve">produce the sensitivities. We deliberately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students to hand-derive adjoint algorithmic differentiation;</w:t>
      </w:r>
      <w:r>
        <w:t xml:space="preserve"> </w:t>
      </w:r>
      <w:r>
        <w:t xml:space="preserve">the goal is correct, readable research code, not AD plumbing.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Fast-computation methods are written in C++.</w:t>
      </w:r>
      <w:r>
        <w:t xml:space="preserve"> </w:t>
      </w:r>
      <w:r>
        <w:t xml:space="preserve">The latency-critical</w:t>
      </w:r>
      <w:r>
        <w:t xml:space="preserve"> </w:t>
      </w:r>
      <w:r>
        <w:t xml:space="preserve">numerical kernels — characteristic-function pricers, implied-volatility</w:t>
      </w:r>
      <w:r>
        <w:t xml:space="preserve"> </w:t>
      </w:r>
      <w:r>
        <w:t xml:space="preserve">inversion, and full-surface revaluation — are implemented in C++ for</w:t>
      </w:r>
      <w:r>
        <w:t xml:space="preserve"> </w:t>
      </w:r>
      <w:r>
        <w:t xml:space="preserve">speed, then exposed to Python through a</w:t>
      </w:r>
      <w:r>
        <w:t xml:space="preserve"> </w:t>
      </w:r>
      <w:r>
        <w:rPr>
          <w:rStyle w:val="VerbatimChar"/>
          <w:b/>
          <w:bCs/>
        </w:rPr>
        <w:t xml:space="preserve">pybind11</w:t>
      </w:r>
      <w:r>
        <w:t xml:space="preserve"> </w:t>
      </w:r>
      <w:r>
        <w:t xml:space="preserve">binding so that</w:t>
      </w:r>
      <w:r>
        <w:t xml:space="preserve"> </w:t>
      </w:r>
      <w:r>
        <w:t xml:space="preserve">the same Python research code can call them. Week 7 teaches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explicitly: how to write a binding module, build it with CMake, manage</w:t>
      </w:r>
      <w:r>
        <w:t xml:space="preserve"> </w:t>
      </w:r>
      <w:r>
        <w:t xml:space="preserve">the GIL, and pass NumPy/PyTorch tensors across the boundary without</w:t>
      </w:r>
      <w:r>
        <w:t xml:space="preserve"> </w:t>
      </w:r>
      <w:r>
        <w:t xml:space="preserve">copying.</w:t>
      </w:r>
    </w:p>
    <w:p>
      <w:pPr>
        <w:pStyle w:val="FirstParagraph"/>
      </w:pPr>
      <w:r>
        <w:t xml:space="preserve">The result is a realistic hybrid that mirrors industry practice: Python</w:t>
      </w:r>
      <w:r>
        <w:t xml:space="preserve"> </w:t>
      </w:r>
      <w:r>
        <w:t xml:space="preserve">for research and orchestration, C++ for the hot path, and a clean binder</w:t>
      </w:r>
      <w:r>
        <w:t xml:space="preserve"> </w:t>
      </w:r>
      <w:r>
        <w:t xml:space="preserve">between them.</w:t>
      </w:r>
    </w:p>
    <w:bookmarkEnd w:id="12"/>
    <w:bookmarkStart w:id="13" w:name="learning-objectives"/>
    <w:p>
      <w:pPr>
        <w:pStyle w:val="Heading3"/>
      </w:pPr>
      <w:r>
        <w:t xml:space="preserve">1.2 Learning Objectives</w:t>
      </w:r>
    </w:p>
    <w:p>
      <w:pPr>
        <w:pStyle w:val="FirstParagraph"/>
      </w:pPr>
      <w:r>
        <w:t xml:space="preserve">Upon successful completion of this program, students will be able to:</w:t>
      </w:r>
    </w:p>
    <w:p>
      <w:pPr>
        <w:pStyle w:val="Compact"/>
        <w:numPr>
          <w:ilvl w:val="0"/>
          <w:numId w:val="1002"/>
        </w:numPr>
      </w:pPr>
      <w:r>
        <w:t xml:space="preserve">Formulate a market making problem as a continuous-time stochastic</w:t>
      </w:r>
      <w:r>
        <w:t xml:space="preserve"> </w:t>
      </w:r>
      <w:r>
        <w:t xml:space="preserve">optimal control problem and understand the associated</w:t>
      </w:r>
      <w:r>
        <w:t xml:space="preserve"> </w:t>
      </w:r>
      <w:r>
        <w:t xml:space="preserve">Hamilton–Jacobi–Bellman (HJB) equation.</w:t>
      </w:r>
    </w:p>
    <w:p>
      <w:pPr>
        <w:pStyle w:val="Compact"/>
        <w:numPr>
          <w:ilvl w:val="0"/>
          <w:numId w:val="1002"/>
        </w:numPr>
      </w:pPr>
      <w:r>
        <w:t xml:space="preserve">Solve the HJB system for the Avellaneda–Stoikov model in closed form</w:t>
      </w:r>
      <w:r>
        <w:t xml:space="preserve"> </w:t>
      </w:r>
      <w:r>
        <w:t xml:space="preserve">and implement the resulting quoting policy as a Python/PyTorch engine</w:t>
      </w:r>
      <w:r>
        <w:t xml:space="preserve"> </w:t>
      </w:r>
      <w:r>
        <w:t xml:space="preserve">validated against the analytical solution.</w:t>
      </w:r>
    </w:p>
    <w:p>
      <w:pPr>
        <w:pStyle w:val="Compact"/>
        <w:numPr>
          <w:ilvl w:val="0"/>
          <w:numId w:val="1002"/>
        </w:numPr>
      </w:pPr>
      <w:r>
        <w:t xml:space="preserve">Calibrate parametric volatility surfaces (SVI, SABR) to live</w:t>
      </w:r>
      <w:r>
        <w:t xml:space="preserve"> </w:t>
      </w:r>
      <w:r>
        <w:t xml:space="preserve">cryptocurrency options data in PyTorch and assess their stability</w:t>
      </w:r>
      <w:r>
        <w:t xml:space="preserve"> </w:t>
      </w:r>
      <w:r>
        <w:t xml:space="preserve">across time.</w:t>
      </w:r>
    </w:p>
    <w:p>
      <w:pPr>
        <w:pStyle w:val="Compact"/>
        <w:numPr>
          <w:ilvl w:val="0"/>
          <w:numId w:val="1002"/>
        </w:numPr>
      </w:pPr>
      <w:r>
        <w:t xml:space="preserve">Implement latency-critical pricing, implied-volatility, and Greek</w:t>
      </w:r>
      <w:r>
        <w:t xml:space="preserve"> </w:t>
      </w:r>
      <w:r>
        <w:t xml:space="preserve">routines in C++ and call them from Python through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binding.</w:t>
      </w:r>
    </w:p>
    <w:p>
      <w:pPr>
        <w:pStyle w:val="Compact"/>
        <w:numPr>
          <w:ilvl w:val="0"/>
          <w:numId w:val="1002"/>
        </w:numPr>
      </w:pPr>
      <w:r>
        <w:t xml:space="preserve">Extend the Avellaneda–Stoikov framework to a multi-Greek inventory</w:t>
      </w:r>
      <w:r>
        <w:t xml:space="preserve"> </w:t>
      </w:r>
      <w:r>
        <w:t xml:space="preserve">penalty following El Aoud and Abergel, and reduce the resulting HJB</w:t>
      </w:r>
      <w:r>
        <w:t xml:space="preserve"> </w:t>
      </w:r>
      <w:r>
        <w:t xml:space="preserve">system to a numerically tractable form.</w:t>
      </w:r>
    </w:p>
    <w:p>
      <w:pPr>
        <w:pStyle w:val="Compact"/>
        <w:numPr>
          <w:ilvl w:val="0"/>
          <w:numId w:val="1002"/>
        </w:numPr>
      </w:pPr>
      <w:r>
        <w:t xml:space="preserve">Integrate a dynamic hedging policy with the quoting engine and analyze</w:t>
      </w:r>
      <w:r>
        <w:t xml:space="preserve"> </w:t>
      </w:r>
      <w:r>
        <w:t xml:space="preserve">the resulting P&amp;L attribution.</w:t>
      </w:r>
    </w:p>
    <w:p>
      <w:pPr>
        <w:pStyle w:val="Compact"/>
        <w:numPr>
          <w:ilvl w:val="0"/>
          <w:numId w:val="1002"/>
        </w:numPr>
      </w:pPr>
      <w:r>
        <w:t xml:space="preserve">Build and validate an event-driven backtest that consumes real</w:t>
      </w:r>
      <w:r>
        <w:t xml:space="preserve"> </w:t>
      </w:r>
      <w:r>
        <w:t xml:space="preserve">Coincall order-book data and produces interpretable P&amp;L, risk, and</w:t>
      </w:r>
      <w:r>
        <w:t xml:space="preserve"> </w:t>
      </w:r>
      <w:r>
        <w:t xml:space="preserve">Greek-exposure diagnostics.</w:t>
      </w:r>
    </w:p>
    <w:p>
      <w:pPr>
        <w:pStyle w:val="Compact"/>
        <w:numPr>
          <w:ilvl w:val="0"/>
          <w:numId w:val="1002"/>
        </w:numPr>
      </w:pPr>
      <w:r>
        <w:t xml:space="preserve">Situate the maker (market-making) perspective against</w:t>
      </w:r>
      <w:r>
        <w:t xml:space="preserve"> </w:t>
      </w:r>
      <w:r>
        <w:rPr>
          <w:b/>
          <w:bCs/>
        </w:rPr>
        <w:t xml:space="preserve">taker</w:t>
      </w:r>
      <w:r>
        <w:rPr>
          <w:b/>
          <w:bCs/>
        </w:rPr>
        <w:t xml:space="preserve"> </w:t>
      </w:r>
      <w:r>
        <w:rPr>
          <w:b/>
          <w:bCs/>
        </w:rPr>
        <w:t xml:space="preserve">strategies</w:t>
      </w:r>
      <w:r>
        <w:t xml:space="preserve">, and understand how options are used by corporates through</w:t>
      </w:r>
      <w:r>
        <w:t xml:space="preserve"> </w:t>
      </w:r>
      <w:r>
        <w:rPr>
          <w:b/>
          <w:bCs/>
        </w:rPr>
        <w:t xml:space="preserve">structured products</w:t>
      </w:r>
      <w:r>
        <w:t xml:space="preserve"> </w:t>
      </w:r>
      <w:r>
        <w:t xml:space="preserve">(collars, accumulators/decumulators, coupon</w:t>
      </w:r>
      <w:r>
        <w:t xml:space="preserve"> </w:t>
      </w:r>
      <w:r>
        <w:t xml:space="preserve">products).</w:t>
      </w:r>
    </w:p>
    <w:p>
      <w:pPr>
        <w:pStyle w:val="Compact"/>
        <w:numPr>
          <w:ilvl w:val="0"/>
          <w:numId w:val="1002"/>
        </w:numPr>
      </w:pPr>
      <w:r>
        <w:t xml:space="preserve">Implement at least one advanced extension of Avellaneda–Stoikov and</w:t>
      </w:r>
      <w:r>
        <w:t xml:space="preserve"> </w:t>
      </w:r>
      <w:r>
        <w:t xml:space="preserve">communicate the results in writing and orally at a level suitable for</w:t>
      </w:r>
      <w:r>
        <w:t xml:space="preserve"> </w:t>
      </w:r>
      <w:r>
        <w:t xml:space="preserve">industry quantitative-research interviews.</w:t>
      </w:r>
    </w:p>
    <w:bookmarkEnd w:id="13"/>
    <w:bookmarkStart w:id="14" w:name="prerequisites"/>
    <w:p>
      <w:pPr>
        <w:pStyle w:val="Heading3"/>
      </w:pPr>
      <w:r>
        <w:t xml:space="preserve">1.3 Prerequisites</w:t>
      </w:r>
    </w:p>
    <w:p>
      <w:pPr>
        <w:pStyle w:val="FirstParagraph"/>
      </w:pPr>
      <w:r>
        <w:t xml:space="preserve">Students are expected to have completed or be concurrently enrolled in</w:t>
      </w:r>
      <w:r>
        <w:t xml:space="preserve"> </w:t>
      </w:r>
      <w:r>
        <w:t xml:space="preserve">graduate coursework covering: stochastic calculus (Itô integration, Itô’s</w:t>
      </w:r>
      <w:r>
        <w:t xml:space="preserve"> </w:t>
      </w:r>
      <w:r>
        <w:t xml:space="preserve">lemma, Girsanov’s theorem), continuous-time stochastic processes</w:t>
      </w:r>
      <w:r>
        <w:t xml:space="preserve"> </w:t>
      </w:r>
      <w:r>
        <w:t xml:space="preserve">(Brownian motion, Poisson processes, jump-diffusions),</w:t>
      </w:r>
      <w:r>
        <w:t xml:space="preserve"> </w:t>
      </w:r>
      <w:r>
        <w:t xml:space="preserve">Black–Scholes–Merton option pricing, partial differential equations at</w:t>
      </w:r>
      <w:r>
        <w:t xml:space="preserve"> </w:t>
      </w:r>
      <w:r>
        <w:t xml:space="preserve">the level of Evans, and probability theory at the level of Durrett.</w:t>
      </w:r>
    </w:p>
    <w:p>
      <w:pPr>
        <w:pStyle w:val="BodyText"/>
      </w:pPr>
      <w:r>
        <w:t xml:space="preserve">Programming maturity in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is required, including comfort with</w:t>
      </w:r>
      <w:r>
        <w:t xml:space="preserve"> </w:t>
      </w:r>
      <w:r>
        <w:t xml:space="preserve">NumPy and the basics of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(tensors, autograd). Familiarity with</w:t>
      </w:r>
      <w:r>
        <w:t xml:space="preserve"> </w:t>
      </w:r>
      <w:r>
        <w:rPr>
          <w:b/>
          <w:bCs/>
        </w:rPr>
        <w:t xml:space="preserve">modern C++ (C++17)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is advantageous for the</w:t>
      </w:r>
      <w:r>
        <w:t xml:space="preserve"> </w:t>
      </w:r>
      <w:r>
        <w:t xml:space="preserve">fast-computation week but is taught from a working scaffold; no prior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experience is assumed.</w:t>
      </w:r>
    </w:p>
    <w:bookmarkEnd w:id="14"/>
    <w:bookmarkStart w:id="15" w:name="structure"/>
    <w:p>
      <w:pPr>
        <w:pStyle w:val="Heading3"/>
      </w:pPr>
      <w:r>
        <w:t xml:space="preserve">1.4 Structure</w:t>
      </w:r>
    </w:p>
    <w:p>
      <w:pPr>
        <w:pStyle w:val="FirstParagraph"/>
      </w:pPr>
      <w:r>
        <w:t xml:space="preserve">The program runs for ten weeks. Week 1 was the introduction week</w:t>
      </w:r>
      <w:r>
        <w:t xml:space="preserve"> </w:t>
      </w:r>
      <w:r>
        <w:t xml:space="preserve">(delivered last week). Each of the nine technical weeks (Weeks 2–10)</w:t>
      </w:r>
      <w:r>
        <w:t xml:space="preserve"> </w:t>
      </w:r>
      <w:r>
        <w:t xml:space="preserve">comprises two ninety-minute lectures, one ninety-minute recitation, and</w:t>
      </w:r>
      <w:r>
        <w:t xml:space="preserve"> </w:t>
      </w:r>
      <w:r>
        <w:t xml:space="preserve">approximately fifteen hours of independent reading, programming, and</w:t>
      </w:r>
      <w:r>
        <w:t xml:space="preserve"> </w:t>
      </w:r>
      <w:r>
        <w:t xml:space="preserve">benchmarking.</w:t>
      </w:r>
      <w:r>
        <w:t xml:space="preserve"> </w:t>
      </w:r>
      <w:r>
        <w:rPr>
          <w:b/>
          <w:bCs/>
        </w:rPr>
        <w:t xml:space="preserve">Weeks 5, 7, and 9 are milestone weeks</w:t>
      </w:r>
      <w:r>
        <w:t xml:space="preserve"> </w:t>
      </w:r>
      <w:r>
        <w:t xml:space="preserve">at which students</w:t>
      </w:r>
      <w:r>
        <w:t xml:space="preserve"> </w:t>
      </w:r>
      <w:r>
        <w:t xml:space="preserve">deliver a working software component built on the preceding weeks’</w:t>
      </w:r>
      <w:r>
        <w:t xml:space="preserve"> </w:t>
      </w:r>
      <w:r>
        <w:t xml:space="preserve">material. The final week (Week 10) surveys advanced Avellaneda–Stoikov</w:t>
      </w:r>
      <w:r>
        <w:t xml:space="preserve"> </w:t>
      </w:r>
      <w:r>
        <w:t xml:space="preserve">extensions and is devoted to a chosen extension topic and the preparation</w:t>
      </w:r>
      <w:r>
        <w:t xml:space="preserve"> </w:t>
      </w:r>
      <w:r>
        <w:t xml:space="preserve">and presentation of a research-grade final report.</w:t>
      </w:r>
    </w:p>
    <w:p>
      <w:pPr>
        <w:pStyle w:val="BodyText"/>
      </w:pPr>
      <w:r>
        <w:t xml:space="preserve">The schedule is built around the Avellaneda–Stoikov framework as the</w:t>
      </w:r>
      <w:r>
        <w:t xml:space="preserve"> </w:t>
      </w:r>
      <w:r>
        <w:t xml:space="preserve">unifying worked example: it is introduced in Week 3, placed within the</w:t>
      </w:r>
      <w:r>
        <w:t xml:space="preserve"> </w:t>
      </w:r>
      <w:r>
        <w:t xml:space="preserve">general continuous-time control template in Week 4, implemented as a</w:t>
      </w:r>
      <w:r>
        <w:t xml:space="preserve"> </w:t>
      </w:r>
      <w:r>
        <w:t xml:space="preserve">production engine in Week 5, and extended to a multi-Greek options setting</w:t>
      </w:r>
      <w:r>
        <w:t xml:space="preserve"> </w:t>
      </w:r>
      <w:r>
        <w:t xml:space="preserve">in Week 8. Extensions of Avellaneda–Stoikov are consolidated into the</w:t>
      </w:r>
      <w:r>
        <w:t xml:space="preserve"> </w:t>
      </w:r>
      <w:r>
        <w:t xml:space="preserve">dedicated advanced week (Week 10) rather than being interleaved</w:t>
      </w:r>
      <w:r>
        <w:t xml:space="preserve"> </w:t>
      </w:r>
      <w:r>
        <w:t xml:space="preserve">throughout.</w:t>
      </w:r>
    </w:p>
    <w:bookmarkEnd w:id="15"/>
    <w:bookmarkStart w:id="16" w:name="assessment"/>
    <w:p>
      <w:pPr>
        <w:pStyle w:val="Heading3"/>
      </w:pPr>
      <w:r>
        <w:t xml:space="preserve">1.5 Assessment</w:t>
      </w:r>
    </w:p>
    <w:p>
      <w:pPr>
        <w:pStyle w:val="FirstParagraph"/>
      </w:pPr>
      <w:r>
        <w:t xml:space="preserve">Final grades are determined as follows. Weekly problem sets account for</w:t>
      </w:r>
      <w:r>
        <w:t xml:space="preserve"> </w:t>
      </w:r>
      <w:r>
        <w:t xml:space="preserve">thirty percent of the grade. The three milestone deliverables in Weeks 5,</w:t>
      </w:r>
      <w:r>
        <w:t xml:space="preserve"> </w:t>
      </w:r>
      <w:r>
        <w:t xml:space="preserve">7, and 9 jointly account for thirty percent. The final report and</w:t>
      </w:r>
      <w:r>
        <w:t xml:space="preserve"> </w:t>
      </w:r>
      <w:r>
        <w:t xml:space="preserve">presentation account for thirty percent. Active participation in lecture,</w:t>
      </w:r>
      <w:r>
        <w:t xml:space="preserve"> </w:t>
      </w:r>
      <w:r>
        <w:t xml:space="preserve">recitation, and code review accounts for the remaining ten percent.</w:t>
      </w:r>
    </w:p>
    <w:p>
      <w:pPr>
        <w:pStyle w:val="BodyText"/>
      </w:pPr>
      <w:r>
        <w:t xml:space="preserve">The weekly problem sets are distributed as a separate</w:t>
      </w:r>
      <w:r>
        <w:t xml:space="preserve"> </w:t>
      </w:r>
      <w:r>
        <w:rPr>
          <w:b/>
          <w:bCs/>
        </w:rPr>
        <w:t xml:space="preserve">Problem Sets</w:t>
      </w:r>
      <w:r>
        <w:t xml:space="preserve"> </w:t>
      </w:r>
      <w:r>
        <w:t xml:space="preserve">booklet; fully worked solutions are distributed (to graders, and to</w:t>
      </w:r>
      <w:r>
        <w:t xml:space="preserve"> </w:t>
      </w:r>
      <w:r>
        <w:t xml:space="preserve">students after each deadline) as a separate</w:t>
      </w:r>
      <w:r>
        <w:t xml:space="preserve"> </w:t>
      </w:r>
      <w:r>
        <w:rPr>
          <w:b/>
          <w:bCs/>
        </w:rPr>
        <w:t xml:space="preserve">Solutions</w:t>
      </w:r>
      <w:r>
        <w:t xml:space="preserve"> </w:t>
      </w:r>
      <w:r>
        <w:t xml:space="preserve">booklet.</w:t>
      </w:r>
    </w:p>
    <w:bookmarkEnd w:id="16"/>
    <w:bookmarkStart w:id="17" w:name="mentorship-model"/>
    <w:p>
      <w:pPr>
        <w:pStyle w:val="Heading3"/>
      </w:pPr>
      <w:r>
        <w:t xml:space="preserve">1.6 Mentorship Model</w:t>
      </w:r>
    </w:p>
    <w:p>
      <w:pPr>
        <w:pStyle w:val="FirstParagraph"/>
      </w:pPr>
      <w:r>
        <w:t xml:space="preserve">Because the industry mentor contributes on a volunteer basis alongside a</w:t>
      </w:r>
      <w:r>
        <w:t xml:space="preserve"> </w:t>
      </w:r>
      <w:r>
        <w:t xml:space="preserve">full-time role, mentorship is primarily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and 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fixed weekly time commitment</w:t>
      </w:r>
      <w:r>
        <w:t xml:space="preserve">. The mentor is reachable by</w:t>
      </w:r>
      <w:r>
        <w:t xml:space="preserve"> </w:t>
      </w:r>
      <w:r>
        <w:rPr>
          <w:b/>
          <w:bCs/>
        </w:rPr>
        <w:t xml:space="preserve">email and</w:t>
      </w:r>
      <w:r>
        <w:rPr>
          <w:b/>
          <w:bCs/>
        </w:rPr>
        <w:t xml:space="preserve"> </w:t>
      </w:r>
      <w:r>
        <w:rPr>
          <w:b/>
          <w:bCs/>
        </w:rPr>
        <w:t xml:space="preserve">Telegram</w:t>
      </w:r>
      <w:r>
        <w:t xml:space="preserve">, and aims to respond within a few business days. This channel</w:t>
      </w:r>
      <w:r>
        <w:t xml:space="preserve"> </w:t>
      </w:r>
      <w:r>
        <w:t xml:space="preserve">is intended for clarification of difficult material, code review of</w:t>
      </w:r>
      <w:r>
        <w:t xml:space="preserve"> </w:t>
      </w:r>
      <w:r>
        <w:t xml:space="preserve">milestone deliverables, and discussion of research directions for the</w:t>
      </w:r>
      <w:r>
        <w:t xml:space="preserve"> </w:t>
      </w:r>
      <w:r>
        <w:t xml:space="preserve">final week; students should send specific, well-prepared questions</w:t>
      </w:r>
      <w:r>
        <w:t xml:space="preserve"> </w:t>
      </w:r>
      <w:r>
        <w:t xml:space="preserve">(including a minimal reproducible code snippet where relevant).</w:t>
      </w:r>
    </w:p>
    <w:p>
      <w:pPr>
        <w:pStyle w:val="BodyText"/>
      </w:pPr>
      <w:r>
        <w:t xml:space="preserve">When a question genuinely needs a live conversation,</w:t>
      </w:r>
      <w:r>
        <w:t xml:space="preserve"> </w:t>
      </w:r>
      <w:r>
        <w:rPr>
          <w:b/>
          <w:bCs/>
        </w:rPr>
        <w:t xml:space="preserve">bespoke one-on-one</w:t>
      </w:r>
      <w:r>
        <w:rPr>
          <w:b/>
          <w:bCs/>
        </w:rPr>
        <w:t xml:space="preserve"> </w:t>
      </w:r>
      <w:r>
        <w:rPr>
          <w:b/>
          <w:bCs/>
        </w:rPr>
        <w:t xml:space="preserve">sessions are arranged ad hoc</w:t>
      </w:r>
      <w:r>
        <w:t xml:space="preserve">, subject to the mentor’s availability,</w:t>
      </w:r>
      <w:r>
        <w:t xml:space="preserve"> </w:t>
      </w:r>
      <w:r>
        <w:t xml:space="preserve">rather than on a standing weekly schedule. Day-to-day support — recitation,</w:t>
      </w:r>
      <w:r>
        <w:t xml:space="preserve"> </w:t>
      </w:r>
      <w:r>
        <w:t xml:space="preserve">office hours, and first-pass grading — is provided by the program tutors,</w:t>
      </w:r>
      <w:r>
        <w:t xml:space="preserve"> </w:t>
      </w:r>
      <w:r>
        <w:t xml:space="preserve">who escalate to the mentor as needed.</w:t>
      </w:r>
    </w:p>
    <w:bookmarkEnd w:id="17"/>
    <w:bookmarkStart w:id="18" w:name="guest-practitioner-sessions"/>
    <w:p>
      <w:pPr>
        <w:pStyle w:val="Heading3"/>
      </w:pPr>
      <w:r>
        <w:t xml:space="preserve">1.7 Guest Practitioner Sessions</w:t>
      </w:r>
    </w:p>
    <w:p>
      <w:pPr>
        <w:pStyle w:val="FirstParagraph"/>
      </w:pPr>
      <w:r>
        <w:t xml:space="preserve">Fenni Kang (Chief Strategy Officer, Coincall) contributes two guest</w:t>
      </w:r>
      <w:r>
        <w:t xml:space="preserve"> </w:t>
      </w:r>
      <w:r>
        <w:t xml:space="preserve">sessions, integrated as additional lectures within the regular schedule: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9 — Taker Strategies.</w:t>
      </w:r>
      <w:r>
        <w:t xml:space="preserve"> </w:t>
      </w:r>
      <w:r>
        <w:t xml:space="preserve">A practitioner’s view of liquidity</w:t>
      </w:r>
      <w:r>
        <w:t xml:space="preserve"> </w:t>
      </w:r>
      <w:r>
        <w:rPr>
          <w:i/>
          <w:iCs/>
        </w:rPr>
        <w:t xml:space="preserve">consumption</w:t>
      </w:r>
      <w:r>
        <w:t xml:space="preserve">: when and why takers cross the spread, the signals that</w:t>
      </w:r>
      <w:r>
        <w:t xml:space="preserve"> </w:t>
      </w:r>
      <w:r>
        <w:t xml:space="preserve">drive aggressive flow, and how taker behaviour shapes the order flow</w:t>
      </w:r>
      <w:r>
        <w:t xml:space="preserve"> </w:t>
      </w:r>
      <w:r>
        <w:t xml:space="preserve">that the market maker must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10 — Corporate Usage of Options and Structured Products.</w:t>
      </w:r>
      <w:r>
        <w:t xml:space="preserve"> </w:t>
      </w:r>
      <w:r>
        <w:t xml:space="preserve">How</w:t>
      </w:r>
      <w:r>
        <w:t xml:space="preserve"> </w:t>
      </w:r>
      <w:r>
        <w:t xml:space="preserve">corporates and treasuries use options: collars to fix a price band,</w:t>
      </w:r>
      <w:r>
        <w:t xml:space="preserve"> </w:t>
      </w:r>
      <w:r>
        <w:t xml:space="preserve">accumulators and decumulators for staged accumulation/liquidation, and</w:t>
      </w:r>
      <w:r>
        <w:t xml:space="preserve"> </w:t>
      </w:r>
      <w:r>
        <w:t xml:space="preserve">coupon (yield-enhancement) products. The session connects the</w:t>
      </w:r>
      <w:r>
        <w:t xml:space="preserve"> </w:t>
      </w:r>
      <w:r>
        <w:t xml:space="preserve">market-maker’s book to the structured-product flow that generates it.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gram-milestones-at-a-glance"/>
    <w:p>
      <w:pPr>
        <w:pStyle w:val="Heading2"/>
      </w:pPr>
      <w:r>
        <w:t xml:space="preserve">2. Program Milestones at a Glance</w:t>
      </w:r>
    </w:p>
    <w:p>
      <w:pPr>
        <w:pStyle w:val="FirstParagraph"/>
      </w:pPr>
      <w:r>
        <w:t xml:space="preserve">The program is organized around three milestone deliverables. Each</w:t>
      </w:r>
      <w:r>
        <w:t xml:space="preserve"> </w:t>
      </w:r>
      <w:r>
        <w:t xml:space="preserve">milestone integrates the material from the preceding weeks and produces a</w:t>
      </w:r>
      <w:r>
        <w:t xml:space="preserve"> </w:t>
      </w:r>
      <w:r>
        <w:t xml:space="preserve">software artifact that is incorporated into the final research</w:t>
      </w:r>
      <w:r>
        <w:t xml:space="preserve"> </w:t>
      </w:r>
      <w:r>
        <w:t xml:space="preserve">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Linear-asset Avellaneda–Stoikov engine</w:t>
            </w:r>
          </w:p>
        </w:tc>
        <w:tc>
          <w:tcPr/>
          <w:p>
            <w:pPr>
              <w:pStyle w:val="Compact"/>
            </w:pPr>
            <w:r>
              <w:t xml:space="preserve">Python/PyTorch implementation of the Avellaneda–Stoikov model on a single linear asset, validated against simulated dynamics and benchmarked on one month of Coincall BTC-PERP order-book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Fast pricing and Greeks library</w:t>
            </w:r>
          </w:p>
        </w:tc>
        <w:tc>
          <w:tcPr/>
          <w:p>
            <w:pPr>
              <w:pStyle w:val="Compact"/>
            </w:pPr>
            <w:r>
              <w:t xml:space="preserve">C++ pricing/implied-vol/Greeks library for European options under Black–Scholes and Heston dynamics, exposed to Python via</w:t>
            </w:r>
            <w:r>
              <w:t xml:space="preserve"> </w:t>
            </w:r>
            <w:r>
              <w:rPr>
                <w:rStyle w:val="VerbatimChar"/>
              </w:rPr>
              <w:t xml:space="preserve">pybind11</w:t>
            </w:r>
            <w:r>
              <w:t xml:space="preserve">, with PyTorch reference Greeks. Latency target: full Coincall BTC surface revaluation in under 5 milliseconds.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Full options market-making backtest</w:t>
            </w:r>
          </w:p>
        </w:tc>
        <w:tc>
          <w:tcPr/>
          <w:p>
            <w:pPr>
              <w:pStyle w:val="Compact"/>
            </w:pPr>
            <w:r>
              <w:t xml:space="preserve">Event-driven backtest of the multi-Greek market-making engine on three months of Coincall BTC and ETH options data, with full P&amp;L attribution, risk metrics, and Greek-exposure time series.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1" w:name="week-by-week-schedule"/>
    <w:p>
      <w:pPr>
        <w:pStyle w:val="Heading2"/>
      </w:pPr>
      <w:r>
        <w:t xml:space="preserve">3. Week-by-Week Schedule</w:t>
      </w:r>
    </w:p>
    <w:p>
      <w:pPr>
        <w:pStyle w:val="FirstParagraph"/>
      </w:pPr>
      <w:r>
        <w:t xml:space="preserve">Each of the following sections gives the learning objectives, lecture</w:t>
      </w:r>
      <w:r>
        <w:t xml:space="preserve"> </w:t>
      </w:r>
      <w:r>
        <w:t xml:space="preserve">outlines, recitation activity, required reading, and (where applicable)</w:t>
      </w:r>
      <w:r>
        <w:t xml:space="preserve"> </w:t>
      </w:r>
      <w:r>
        <w:t xml:space="preserve">milestone deliverable for one week of the program. Detailed problem-set</w:t>
      </w:r>
      <w:r>
        <w:t xml:space="preserve"> </w:t>
      </w:r>
      <w:r>
        <w:t xml:space="preserve">questions live in the separate Problem Sets booklet; each week below lists</w:t>
      </w:r>
      <w:r>
        <w:t xml:space="preserve"> </w:t>
      </w:r>
      <w:r>
        <w:t xml:space="preserve">the problem set’s scope and its implementation language.</w:t>
      </w:r>
    </w:p>
    <w:p>
      <w:r>
        <w:pict>
          <v:rect style="width:0;height:1.5pt" o:hralign="center" o:hrstd="t" o:hr="t"/>
        </w:pict>
      </w:r>
    </w:p>
    <w:bookmarkStart w:id="21" w:name="week-1-introduction-delivered"/>
    <w:p>
      <w:pPr>
        <w:pStyle w:val="Heading3"/>
      </w:pPr>
      <w:r>
        <w:t xml:space="preserve">Week 1 — Introduction (Delivered)</w:t>
      </w:r>
    </w:p>
    <w:p>
      <w:pPr>
        <w:pStyle w:val="FirstParagraph"/>
      </w:pPr>
      <w:r>
        <w:rPr>
          <w:i/>
          <w:iCs/>
        </w:rPr>
        <w:t xml:space="preserve">Theme: orientation, environment, and data. This week was delivered last</w:t>
      </w:r>
      <w:r>
        <w:rPr>
          <w:i/>
          <w:iCs/>
        </w:rPr>
        <w:t xml:space="preserve"> </w:t>
      </w:r>
      <w:r>
        <w:rPr>
          <w:i/>
          <w:iCs/>
        </w:rPr>
        <w:t xml:space="preserve">week and is recorded here for completeness.</w:t>
      </w:r>
    </w:p>
    <w:p>
      <w:pPr>
        <w:pStyle w:val="BodyText"/>
      </w:pPr>
      <w:r>
        <w:t xml:space="preserve">Week 1 introduced the program’s goals and arc, the maker-versus-taker</w:t>
      </w:r>
      <w:r>
        <w:t xml:space="preserve"> </w:t>
      </w:r>
      <w:r>
        <w:t xml:space="preserve">framing, and the development environment. Students set up the Python +</w:t>
      </w:r>
      <w:r>
        <w:t xml:space="preserve"> </w:t>
      </w:r>
      <w:r>
        <w:t xml:space="preserve">PyTorch toolchain, a C++17 toolchain with CMake, and a working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binding; received credentials to the Coincall data store;</w:t>
      </w:r>
      <w:r>
        <w:t xml:space="preserve"> </w:t>
      </w:r>
      <w:r>
        <w:t xml:space="preserve">and signed the data-use agreement. There was no graded problem set for</w:t>
      </w:r>
      <w:r>
        <w:t xml:space="preserve"> </w:t>
      </w:r>
      <w:r>
        <w:t xml:space="preserve">Week 1.</w:t>
      </w:r>
    </w:p>
    <w:p>
      <w:r>
        <w:pict>
          <v:rect style="width:0;height:1.5pt" o:hralign="center" o:hrstd="t" o:hr="t"/>
        </w:pict>
      </w:r>
    </w:p>
    <w:bookmarkEnd w:id="21"/>
    <w:bookmarkStart w:id="22" w:name="Xb28302bef4346da3cb5312c44454fa44531dff7"/>
    <w:p>
      <w:pPr>
        <w:pStyle w:val="Heading3"/>
      </w:pPr>
      <w:r>
        <w:t xml:space="preserve">Week 2 — Foundations of Market Microstructure</w:t>
      </w:r>
    </w:p>
    <w:p>
      <w:pPr>
        <w:pStyle w:val="FirstParagraph"/>
      </w:pPr>
      <w:r>
        <w:rPr>
          <w:i/>
          <w:iCs/>
        </w:rPr>
        <w:t xml:space="preserve">Theme: from limit order books to the economic role of the market maker.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4"/>
        </w:numPr>
      </w:pPr>
      <w:r>
        <w:t xml:space="preserve">Reconstruct a limit order book from raw exchange feeds and compute</w:t>
      </w:r>
      <w:r>
        <w:t xml:space="preserve"> </w:t>
      </w:r>
      <w:r>
        <w:t xml:space="preserve">standard liquidity metrics.</w:t>
      </w:r>
    </w:p>
    <w:p>
      <w:pPr>
        <w:pStyle w:val="Compact"/>
        <w:numPr>
          <w:ilvl w:val="0"/>
          <w:numId w:val="1004"/>
        </w:numPr>
      </w:pPr>
      <w:r>
        <w:t xml:space="preserve">Articulate the three classical components of the bid-ask spread and</w:t>
      </w:r>
      <w:r>
        <w:t xml:space="preserve"> </w:t>
      </w:r>
      <w:r>
        <w:t xml:space="preserve">identify them in real data.</w:t>
      </w:r>
    </w:p>
    <w:p>
      <w:pPr>
        <w:pStyle w:val="Compact"/>
        <w:numPr>
          <w:ilvl w:val="0"/>
          <w:numId w:val="1004"/>
        </w:numPr>
      </w:pPr>
      <w:r>
        <w:t xml:space="preserve">Explain the role of the market maker as a continuously quoting</w:t>
      </w:r>
      <w:r>
        <w:t xml:space="preserve"> </w:t>
      </w:r>
      <w:r>
        <w:t xml:space="preserve">liquidity provider, and contrast it with directional and taker</w:t>
      </w:r>
      <w:r>
        <w:t xml:space="preserve"> </w:t>
      </w:r>
      <w:r>
        <w:t xml:space="preserve">trading.</w:t>
      </w:r>
    </w:p>
    <w:p>
      <w:pPr>
        <w:pStyle w:val="FirstParagraph"/>
      </w:pPr>
      <w:r>
        <w:rPr>
          <w:b/>
          <w:bCs/>
        </w:rPr>
        <w:t xml:space="preserve">Lecture 1 — Limit Order Book Mechanics.</w:t>
      </w:r>
      <w:r>
        <w:t xml:space="preserve"> </w:t>
      </w:r>
      <w:r>
        <w:t xml:space="preserve">Order types (market, limit,</w:t>
      </w:r>
      <w:r>
        <w:t xml:space="preserve"> </w:t>
      </w:r>
      <w:r>
        <w:t xml:space="preserve">IOC, post-only, hidden); price-time priority and the matching algorithm;</w:t>
      </w:r>
      <w:r>
        <w:t xml:space="preserve"> </w:t>
      </w:r>
      <w:r>
        <w:t xml:space="preserve">L1 and L2 order-book views (Coincall provides L2 aggregated depth; there</w:t>
      </w:r>
      <w:r>
        <w:t xml:space="preserve"> </w:t>
      </w:r>
      <w:r>
        <w:t xml:space="preserve">is no L3 / per-order feed, so the program models aggregate intensity</w:t>
      </w:r>
      <w:r>
        <w:t xml:space="preserve"> </w:t>
      </w:r>
      <w:r>
        <w:t xml:space="preserve">rather than individual queue position); tick size and lot size; and the</w:t>
      </w:r>
      <w:r>
        <w:t xml:space="preserve"> </w:t>
      </w:r>
      <w:r>
        <w:t xml:space="preserve">Coincall exchange architecture (contract specifications, fee structure,</w:t>
      </w:r>
      <w:r>
        <w:t xml:space="preserve"> </w:t>
      </w:r>
      <w:r>
        <w:t xml:space="preserve">market maker tiers).</w:t>
      </w:r>
    </w:p>
    <w:p>
      <w:pPr>
        <w:pStyle w:val="BodyText"/>
      </w:pPr>
      <w:r>
        <w:rPr>
          <w:b/>
          <w:bCs/>
        </w:rPr>
        <w:t xml:space="preserve">Lecture 2 — Spread Decomposition and the Role of the Market Maker.</w:t>
      </w:r>
      <w:r>
        <w:t xml:space="preserve"> </w:t>
      </w:r>
      <w:r>
        <w:t xml:space="preserve">The bid-ask spread decomposed into adverse selection, inventory, and</w:t>
      </w:r>
      <w:r>
        <w:t xml:space="preserve"> </w:t>
      </w:r>
      <w:r>
        <w:t xml:space="preserve">order-processing components, via the classical models of Roll (1984),</w:t>
      </w:r>
      <w:r>
        <w:t xml:space="preserve"> </w:t>
      </w:r>
      <w:r>
        <w:t xml:space="preserve">Glosten–Milgrom (1985), and Kyle (1985); realized spread, effective</w:t>
      </w:r>
      <w:r>
        <w:t xml:space="preserve"> </w:t>
      </w:r>
      <w:r>
        <w:t xml:space="preserve">spread, and price impact; why crypto microstructure differs from</w:t>
      </w:r>
      <w:r>
        <w:t xml:space="preserve"> </w:t>
      </w:r>
      <w:r>
        <w:t xml:space="preserve">equities.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Reconstruct the order book from a Coincall tick-level</w:t>
      </w:r>
      <w:r>
        <w:t xml:space="preserve"> </w:t>
      </w:r>
      <w:r>
        <w:t xml:space="preserve">recording in Python: replay one hour of BTC-PERP events and produce a</w:t>
      </w:r>
      <w:r>
        <w:t xml:space="preserve"> </w:t>
      </w:r>
      <w:r>
        <w:t xml:space="preserve">time series of mid-prices, spreads, and book depth. Output: a Python class</w:t>
      </w:r>
      <w:r>
        <w:t xml:space="preserve"> </w:t>
      </w:r>
      <w:r>
        <w:t xml:space="preserve">that maintains live order-book state from raw events.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Cartea, Jaikumar, and Penalva (2015), Ch. 1–3; Roll</w:t>
      </w:r>
      <w:r>
        <w:t xml:space="preserve"> </w:t>
      </w:r>
      <w:r>
        <w:t xml:space="preserve">(1984); Glosten and Milgrom (1985).</w:t>
      </w:r>
    </w:p>
    <w:p>
      <w:pPr>
        <w:pStyle w:val="BodyText"/>
      </w:pPr>
      <w:r>
        <w:rPr>
          <w:b/>
          <w:bCs/>
        </w:rPr>
        <w:t xml:space="preserve">Problem Set 2 (Python).</w:t>
      </w:r>
      <w:r>
        <w:t xml:space="preserve"> </w:t>
      </w:r>
      <w:r>
        <w:t xml:space="preserve">Order-book reconstruction, the Roll</w:t>
      </w:r>
      <w:r>
        <w:t xml:space="preserve"> </w:t>
      </w:r>
      <w:r>
        <w:t xml:space="preserve">estimator, the Glosten–Milgrom quote-setter (belief update simulated in</w:t>
      </w:r>
      <w:r>
        <w:t xml:space="preserve"> </w:t>
      </w:r>
      <w:r>
        <w:t xml:space="preserve">PyTorch), and a realized-spread / price-impact decomposition on Coincall</w:t>
      </w:r>
      <w:r>
        <w:t xml:space="preserve"> </w:t>
      </w:r>
      <w:r>
        <w:t xml:space="preserve">data. See the Problem Sets booklet.</w:t>
      </w:r>
    </w:p>
    <w:p>
      <w:r>
        <w:pict>
          <v:rect style="width:0;height:1.5pt" o:hralign="center" o:hrstd="t" o:hr="t"/>
        </w:pict>
      </w:r>
    </w:p>
    <w:bookmarkEnd w:id="22"/>
    <w:bookmarkStart w:id="23" w:name="week-3-the-avellanedastoikov-model"/>
    <w:p>
      <w:pPr>
        <w:pStyle w:val="Heading3"/>
      </w:pPr>
      <w:r>
        <w:t xml:space="preserve">Week 3 — The Avellaneda–Stoikov Model</w:t>
      </w:r>
    </w:p>
    <w:p>
      <w:pPr>
        <w:pStyle w:val="FirstParagraph"/>
      </w:pPr>
      <w:r>
        <w:rPr>
          <w:i/>
          <w:iCs/>
        </w:rPr>
        <w:t xml:space="preserve">Theme: a fully worked example of optimal market making through</w:t>
      </w:r>
      <w:r>
        <w:rPr>
          <w:i/>
          <w:iCs/>
        </w:rPr>
        <w:t xml:space="preserve"> </w:t>
      </w:r>
      <w:r>
        <w:rPr>
          <w:i/>
          <w:iCs/>
        </w:rPr>
        <w:t xml:space="preserve">stochastic control.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5"/>
        </w:numPr>
      </w:pPr>
      <w:r>
        <w:t xml:space="preserve">Set up the Avellaneda–Stoikov problem as a continuous-time stochastic</w:t>
      </w:r>
      <w:r>
        <w:t xml:space="preserve"> </w:t>
      </w:r>
      <w:r>
        <w:t xml:space="preserve">control problem with exponential utility.</w:t>
      </w:r>
    </w:p>
    <w:p>
      <w:pPr>
        <w:pStyle w:val="Compact"/>
        <w:numPr>
          <w:ilvl w:val="0"/>
          <w:numId w:val="1005"/>
        </w:numPr>
      </w:pPr>
      <w:r>
        <w:t xml:space="preserve">Understand the associated HJB equation and its reduction to a system of</w:t>
      </w:r>
      <w:r>
        <w:t xml:space="preserve"> </w:t>
      </w:r>
      <w:r>
        <w:t xml:space="preserve">ODEs through the standard ansatz.</w:t>
      </w:r>
    </w:p>
    <w:p>
      <w:pPr>
        <w:pStyle w:val="Compact"/>
        <w:numPr>
          <w:ilvl w:val="0"/>
          <w:numId w:val="1005"/>
        </w:numPr>
      </w:pPr>
      <w:r>
        <w:t xml:space="preserve">Interpret the closed-form reservation price and optimal half-spread</w:t>
      </w:r>
      <w:r>
        <w:t xml:space="preserve"> </w:t>
      </w:r>
      <w:r>
        <w:t xml:space="preserve">economically.</w:t>
      </w:r>
    </w:p>
    <w:p>
      <w:pPr>
        <w:pStyle w:val="FirstParagraph"/>
      </w:pPr>
      <w:r>
        <w:rPr>
          <w:b/>
          <w:bCs/>
        </w:rPr>
        <w:t xml:space="preserve">Lecture 1 — Setup and Dynamics.</w:t>
      </w:r>
      <w:r>
        <w:t xml:space="preserve"> </w:t>
      </w:r>
      <w:r>
        <w:t xml:space="preserve">Mid-price as arithmetic Brownian</w:t>
      </w:r>
      <w:r>
        <w:t xml:space="preserve"> </w:t>
      </w:r>
      <w:r>
        <w:t xml:space="preserve">motion; Poisson order flow with intensity λ(δ) = A·exp(−κδ); wealth and</w:t>
      </w:r>
      <w:r>
        <w:t xml:space="preserve"> </w:t>
      </w:r>
      <w:r>
        <w:t xml:space="preserve">inventory dynamics; exponential (CARA) utility and why it makes the</w:t>
      </w:r>
      <w:r>
        <w:t xml:space="preserve"> </w:t>
      </w:r>
      <w:r>
        <w:t xml:space="preserve">problem tractable; the terminal liquidation penalty.</w:t>
      </w:r>
    </w:p>
    <w:p>
      <w:pPr>
        <w:pStyle w:val="BodyText"/>
      </w:pPr>
      <w:r>
        <w:rPr>
          <w:b/>
          <w:bCs/>
        </w:rPr>
        <w:t xml:space="preserve">Lecture 2 — HJB Solution.</w:t>
      </w:r>
      <w:r>
        <w:t xml:space="preserve"> </w:t>
      </w:r>
      <w:r>
        <w:t xml:space="preserve">The dynamic programming principle and the</w:t>
      </w:r>
      <w:r>
        <w:t xml:space="preserve"> </w:t>
      </w:r>
      <w:r>
        <w:t xml:space="preserve">HJB equation; the separation ansatz V(t,x,S,q) = −exp(−γ(x+qS))·θ(t,q);</w:t>
      </w:r>
      <w:r>
        <w:t xml:space="preserve"> </w:t>
      </w:r>
      <w:r>
        <w:t xml:space="preserve">reduction to ODEs in θ; the reservation price r = S − qγσ²(T−t); and the</w:t>
      </w:r>
      <w:r>
        <w:t xml:space="preserve"> </w:t>
      </w:r>
      <w:r>
        <w:t xml:space="preserve">optimal half-spread and its decomposition into risk-aversion and</w:t>
      </w:r>
      <w:r>
        <w:t xml:space="preserve"> </w:t>
      </w:r>
      <w:r>
        <w:t xml:space="preserve">order-flow components.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Walk through the derivation together, then implement the</w:t>
      </w:r>
      <w:r>
        <w:t xml:space="preserve"> </w:t>
      </w:r>
      <w:r>
        <w:t xml:space="preserve">closed-form quotes in PyTorch and visualize the reservation price and</w:t>
      </w:r>
      <w:r>
        <w:t xml:space="preserve"> </w:t>
      </w:r>
      <w:r>
        <w:t xml:space="preserve">spread as functions of inventory.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Avellaneda and Stoikov (2008); Cartea, Jaikumar, and</w:t>
      </w:r>
      <w:r>
        <w:t xml:space="preserve"> </w:t>
      </w:r>
      <w:r>
        <w:t xml:space="preserve">Penalva (2015), Ch. 10.</w:t>
      </w:r>
    </w:p>
    <w:p>
      <w:pPr>
        <w:pStyle w:val="BodyText"/>
      </w:pPr>
      <w:r>
        <w:rPr>
          <w:b/>
          <w:bCs/>
        </w:rPr>
        <w:t xml:space="preserve">Problem Set 3 (Python/PyTorch).</w:t>
      </w:r>
      <w:r>
        <w:t xml:space="preserve"> </w:t>
      </w:r>
      <w:r>
        <w:t xml:space="preserve">A PyTorch ODE solver for θ(t,q)</w:t>
      </w:r>
      <w:r>
        <w:t xml:space="preserve"> </w:t>
      </w:r>
      <w:r>
        <w:t xml:space="preserve">validated against the closed-form quotes; a reusable quote engine; a</w:t>
      </w:r>
      <w:r>
        <w:t xml:space="preserve"> </w:t>
      </w:r>
      <w:r>
        <w:t xml:space="preserve">one-day simulation comparing optimal vs. symmetric quoting; a γ</w:t>
      </w:r>
      <w:r>
        <w:t xml:space="preserve"> </w:t>
      </w:r>
      <w:r>
        <w:t xml:space="preserve">sensitivity sweep; and a price-impact experiment. See the Problem Sets</w:t>
      </w:r>
      <w:r>
        <w:t xml:space="preserve"> </w:t>
      </w:r>
      <w:r>
        <w:t xml:space="preserve">booklet.</w:t>
      </w:r>
    </w:p>
    <w:p>
      <w:r>
        <w:pict>
          <v:rect style="width:0;height:1.5pt" o:hralign="center" o:hrstd="t" o:hr="t"/>
        </w:pict>
      </w:r>
    </w:p>
    <w:bookmarkEnd w:id="23"/>
    <w:bookmarkStart w:id="24" w:name="Xea85fefb48070522f6e63a12e583ba1165ef877"/>
    <w:p>
      <w:pPr>
        <w:pStyle w:val="Heading3"/>
      </w:pPr>
      <w:r>
        <w:t xml:space="preserve">Week 4 — Stochastic Optimal Control in Continuous Time</w:t>
      </w:r>
    </w:p>
    <w:p>
      <w:pPr>
        <w:pStyle w:val="FirstParagraph"/>
      </w:pPr>
      <w:r>
        <w:rPr>
          <w:i/>
          <w:iCs/>
        </w:rPr>
        <w:t xml:space="preserve">Theme: the general theory underlying the previous week’s worked example.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6"/>
        </w:numPr>
      </w:pPr>
      <w:r>
        <w:t xml:space="preserve">State and apply the dynamic programming principle in a general</w:t>
      </w:r>
      <w:r>
        <w:t xml:space="preserve"> </w:t>
      </w:r>
      <w:r>
        <w:t xml:space="preserve">continuous-time setting.</w:t>
      </w:r>
    </w:p>
    <w:p>
      <w:pPr>
        <w:pStyle w:val="Compact"/>
        <w:numPr>
          <w:ilvl w:val="0"/>
          <w:numId w:val="1006"/>
        </w:numPr>
      </w:pPr>
      <w:r>
        <w:t xml:space="preserve">Understand the HJB equation for a generic control problem and the role</w:t>
      </w:r>
      <w:r>
        <w:t xml:space="preserve"> </w:t>
      </w:r>
      <w:r>
        <w:t xml:space="preserve">of the verification theorem.</w:t>
      </w:r>
    </w:p>
    <w:p>
      <w:pPr>
        <w:pStyle w:val="Compact"/>
        <w:numPr>
          <w:ilvl w:val="0"/>
          <w:numId w:val="1006"/>
        </w:numPr>
      </w:pPr>
      <w:r>
        <w:t xml:space="preserve">Recognize the role of CARA and CRRA utilities in producing tractable</w:t>
      </w:r>
      <w:r>
        <w:t xml:space="preserve"> </w:t>
      </w:r>
      <w:r>
        <w:t xml:space="preserve">problems.</w:t>
      </w:r>
    </w:p>
    <w:p>
      <w:pPr>
        <w:pStyle w:val="FirstParagraph"/>
      </w:pPr>
      <w:r>
        <w:rPr>
          <w:b/>
          <w:bCs/>
        </w:rPr>
        <w:t xml:space="preserve">Lecture 1 — Dynamic Programming and the HJB Equation.</w:t>
      </w:r>
      <w:r>
        <w:t xml:space="preserve"> </w:t>
      </w:r>
      <w:r>
        <w:t xml:space="preserve">Controlled</w:t>
      </w:r>
      <w:r>
        <w:t xml:space="preserve"> </w:t>
      </w:r>
      <w:r>
        <w:t xml:space="preserve">diffusions and admissible controls; the dynamic programming principle;</w:t>
      </w:r>
      <w:r>
        <w:t xml:space="preserve"> </w:t>
      </w:r>
      <w:r>
        <w:t xml:space="preserve">the infinitesimal generator; derivation of the HJB equation; boundary and</w:t>
      </w:r>
      <w:r>
        <w:t xml:space="preserve"> </w:t>
      </w:r>
      <w:r>
        <w:t xml:space="preserve">terminal conditions.</w:t>
      </w:r>
    </w:p>
    <w:p>
      <w:pPr>
        <w:pStyle w:val="BodyText"/>
      </w:pPr>
      <w:r>
        <w:rPr>
          <w:b/>
          <w:bCs/>
        </w:rPr>
        <w:t xml:space="preserve">Lecture 2 — Verification Theorems and Tractable Utilities.</w:t>
      </w:r>
      <w:r>
        <w:t xml:space="preserve"> </w:t>
      </w:r>
      <w:r>
        <w:t xml:space="preserve">The</w:t>
      </w:r>
      <w:r>
        <w:t xml:space="preserve"> </w:t>
      </w:r>
      <w:r>
        <w:t xml:space="preserve">verification theorem and smooth-fit conditions; viscosity solutions as the</w:t>
      </w:r>
      <w:r>
        <w:t xml:space="preserve"> </w:t>
      </w:r>
      <w:r>
        <w:t xml:space="preserve">setting for non-smooth value functions; CARA, CRRA, and HARA families; why</w:t>
      </w:r>
      <w:r>
        <w:t xml:space="preserve"> </w:t>
      </w:r>
      <w:r>
        <w:t xml:space="preserve">CARA decouples the value function from wealth in market making.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Worked solutions to Merton’s portfolio problem under CARA</w:t>
      </w:r>
      <w:r>
        <w:t xml:space="preserve"> </w:t>
      </w:r>
      <w:r>
        <w:t xml:space="preserve">and CRRA, and an optimal-liquidation problem with linear impact,</w:t>
      </w:r>
      <w:r>
        <w:t xml:space="preserve"> </w:t>
      </w:r>
      <w:r>
        <w:t xml:space="preserve">identifying the recurring pattern: HJB → ansatz → ODE → solution.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Pham (2009), Ch. 3–4; Cartea, Jaikumar, and Penalva</w:t>
      </w:r>
      <w:r>
        <w:t xml:space="preserve"> </w:t>
      </w:r>
      <w:r>
        <w:t xml:space="preserve">(2015), Ch. 6.</w:t>
      </w:r>
    </w:p>
    <w:p>
      <w:pPr>
        <w:pStyle w:val="BodyText"/>
      </w:pPr>
      <w:r>
        <w:rPr>
          <w:b/>
          <w:bCs/>
        </w:rPr>
        <w:t xml:space="preserve">Problem Set 4 (Python/PyTorch).</w:t>
      </w:r>
      <w:r>
        <w:t xml:space="preserve"> </w:t>
      </w:r>
      <w:r>
        <w:t xml:space="preserve">PyTorch solvers for the Merton</w:t>
      </w:r>
      <w:r>
        <w:t xml:space="preserve"> </w:t>
      </w:r>
      <w:r>
        <w:t xml:space="preserve">problem under CRRA and CARA; an Almgren–Chriss optimal-execution solver;</w:t>
      </w:r>
      <w:r>
        <w:t xml:space="preserve"> </w:t>
      </w:r>
      <w:r>
        <w:t xml:space="preserve">an HJB-residual verification harness; and an obstacle-problem</w:t>
      </w:r>
      <w:r>
        <w:t xml:space="preserve"> </w:t>
      </w:r>
      <w:r>
        <w:t xml:space="preserve">(variational-inequality) solver illustrating where viscosity solutions are</w:t>
      </w:r>
      <w:r>
        <w:t xml:space="preserve"> </w:t>
      </w:r>
      <w:r>
        <w:t xml:space="preserve">needed. See the Problem Sets booklet.</w:t>
      </w:r>
    </w:p>
    <w:p>
      <w:r>
        <w:pict>
          <v:rect style="width:0;height:1.5pt" o:hralign="center" o:hrstd="t" o:hr="t"/>
        </w:pict>
      </w:r>
    </w:p>
    <w:bookmarkEnd w:id="24"/>
    <w:bookmarkStart w:id="25" w:name="X8fc28811c7033920e077567de6a4dd75658ca86"/>
    <w:p>
      <w:pPr>
        <w:pStyle w:val="Heading3"/>
      </w:pPr>
      <w:r>
        <w:t xml:space="preserve">Week 5 — The Avellaneda–Stoikov Engine: Implementation, Calibration, and Backtest</w:t>
      </w:r>
    </w:p>
    <w:p>
      <w:pPr>
        <w:pStyle w:val="FirstParagraph"/>
      </w:pPr>
      <w:r>
        <w:rPr>
          <w:i/>
          <w:iCs/>
        </w:rPr>
        <w:t xml:space="preserve">Theme: turning the closed-form solution into a calibrated, backtested</w:t>
      </w:r>
      <w:r>
        <w:rPr>
          <w:i/>
          <w:iCs/>
        </w:rPr>
        <w:t xml:space="preserve"> </w:t>
      </w:r>
      <w:r>
        <w:rPr>
          <w:i/>
          <w:iCs/>
        </w:rPr>
        <w:t xml:space="preserve">quoting engine.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Milestone 1.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7"/>
        </w:numPr>
      </w:pPr>
      <w:r>
        <w:t xml:space="preserve">Implement the Avellaneda–Stoikov quotes as a clean, tested</w:t>
      </w:r>
      <w:r>
        <w:t xml:space="preserve"> </w:t>
      </w:r>
      <w:r>
        <w:t xml:space="preserve">Python/PyTorch engine validated against the analytical solution.</w:t>
      </w:r>
    </w:p>
    <w:p>
      <w:pPr>
        <w:pStyle w:val="Compact"/>
        <w:numPr>
          <w:ilvl w:val="0"/>
          <w:numId w:val="1007"/>
        </w:numPr>
      </w:pPr>
      <w:r>
        <w:t xml:space="preserve">Calibrate the order-flow intensity functions from historical Coincall</w:t>
      </w:r>
      <w:r>
        <w:t xml:space="preserve"> </w:t>
      </w:r>
      <w:r>
        <w:t xml:space="preserve">fill data by maximum likelihood.</w:t>
      </w:r>
    </w:p>
    <w:p>
      <w:pPr>
        <w:pStyle w:val="Compact"/>
        <w:numPr>
          <w:ilvl w:val="0"/>
          <w:numId w:val="1007"/>
        </w:numPr>
      </w:pPr>
      <w:r>
        <w:t xml:space="preserve">Build an event-driven backtest harness and benchmark the engine on one</w:t>
      </w:r>
      <w:r>
        <w:t xml:space="preserve"> </w:t>
      </w:r>
      <w:r>
        <w:t xml:space="preserve">month of Coincall BTC-PERP data.</w:t>
      </w:r>
    </w:p>
    <w:p>
      <w:pPr>
        <w:pStyle w:val="FirstParagraph"/>
      </w:pPr>
      <w:r>
        <w:rPr>
          <w:b/>
          <w:bCs/>
        </w:rPr>
        <w:t xml:space="preserve">Lecture 1 — From Closed Form to Code.</w:t>
      </w:r>
      <w:r>
        <w:t xml:space="preserve"> </w:t>
      </w:r>
      <w:r>
        <w:t xml:space="preserve">Engine architecture; state</w:t>
      </w:r>
      <w:r>
        <w:t xml:space="preserve"> </w:t>
      </w:r>
      <w:r>
        <w:t xml:space="preserve">management (inventory, cash, mid-price estimation from the L2 book);</w:t>
      </w:r>
      <w:r>
        <w:t xml:space="preserve"> </w:t>
      </w:r>
      <w:r>
        <w:t xml:space="preserve">mapping continuous-time quantities to discrete event arrivals; calibrating</w:t>
      </w:r>
      <w:r>
        <w:t xml:space="preserve"> </w:t>
      </w:r>
      <w:r>
        <w:t xml:space="preserve">λ(δ) = A·exp(−κδ) from fill data; numerical pitfalls (units, cash-process</w:t>
      </w:r>
      <w:r>
        <w:t xml:space="preserve"> </w:t>
      </w:r>
      <w:r>
        <w:t xml:space="preserve">sign conventions, inventory indexing).</w:t>
      </w:r>
    </w:p>
    <w:p>
      <w:pPr>
        <w:pStyle w:val="BodyText"/>
      </w:pPr>
      <w:r>
        <w:rPr>
          <w:b/>
          <w:bCs/>
        </w:rPr>
        <w:t xml:space="preserve">Lecture 2 — Calibration, Simulation, and Validation.</w:t>
      </w:r>
      <w:r>
        <w:t xml:space="preserve"> </w:t>
      </w:r>
      <w:r>
        <w:t xml:space="preserve">Maximum-likelihood calibration of A and κ with goodness-of-fit; the</w:t>
      </w:r>
      <w:r>
        <w:t xml:space="preserve"> </w:t>
      </w:r>
      <w:r>
        <w:t xml:space="preserve">backtest harness (replay engine, fill simulator, P&amp;L attribution);</w:t>
      </w:r>
      <w:r>
        <w:t xml:space="preserve"> </w:t>
      </w:r>
      <w:r>
        <w:t xml:space="preserve">validating the P&amp;L distribution against theory; reproducibility under a</w:t>
      </w:r>
      <w:r>
        <w:t xml:space="preserve"> </w:t>
      </w:r>
      <w:r>
        <w:t xml:space="preserve">fixed seed.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Code review of student engines in progress; each student</w:t>
      </w:r>
      <w:r>
        <w:t xml:space="preserve"> </w:t>
      </w:r>
      <w:r>
        <w:t xml:space="preserve">walks through one simulated trading day; group resolution of common bugs;</w:t>
      </w:r>
      <w:r>
        <w:t xml:space="preserve"> </w:t>
      </w:r>
      <w:r>
        <w:t xml:space="preserve">walk-through of the Milestone 1 acceptance criteria.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Avellaneda and Stoikov (2008) (re-read with</w:t>
      </w:r>
      <w:r>
        <w:t xml:space="preserve"> </w:t>
      </w:r>
      <w:r>
        <w:t xml:space="preserve">implementation in mind); Guéant (2016), Ch. 4 (single-asset market</w:t>
      </w:r>
      <w:r>
        <w:t xml:space="preserve"> </w:t>
      </w:r>
      <w:r>
        <w:t xml:space="preserve">making, engineering background).</w:t>
      </w:r>
    </w:p>
    <w:p>
      <w:pPr>
        <w:pStyle w:val="BodyText"/>
      </w:pPr>
      <w:r>
        <w:rPr>
          <w:b/>
          <w:bCs/>
        </w:rPr>
        <w:t xml:space="preserve">Problem Set 5 (Python/PyTorch).</w:t>
      </w:r>
      <w:r>
        <w:t xml:space="preserve"> </w:t>
      </w:r>
      <w:r>
        <w:t xml:space="preserve">Constitutes Milestone 1: an optimized</w:t>
      </w:r>
      <w:r>
        <w:t xml:space="preserve"> </w:t>
      </w:r>
      <w:r>
        <w:t xml:space="preserve">quote path, ML intensity calibration, reproduction of the paper’s</w:t>
      </w:r>
      <w:r>
        <w:t xml:space="preserve"> </w:t>
      </w:r>
      <w:r>
        <w:t xml:space="preserve">inventory/P&amp;L behaviour, a one-month backtest vs. a symmetric baseline,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with reproducible seeds. See the Problem Sets</w:t>
      </w:r>
      <w:r>
        <w:t xml:space="preserve"> </w:t>
      </w:r>
      <w:r>
        <w:t xml:space="preserve">booklet.</w:t>
      </w:r>
    </w:p>
    <w:p>
      <w:pPr>
        <w:pStyle w:val="BlockText"/>
      </w:pPr>
      <w:r>
        <w:rPr>
          <w:b/>
          <w:bCs/>
        </w:rPr>
        <w:t xml:space="preserve">Milestone Deliverable — Milestone 1: Linear-Asset Avellaneda–Stoikov</w:t>
      </w:r>
      <w:r>
        <w:rPr>
          <w:b/>
          <w:bCs/>
        </w:rPr>
        <w:t xml:space="preserve"> </w:t>
      </w:r>
      <w:r>
        <w:rPr>
          <w:b/>
          <w:bCs/>
        </w:rPr>
        <w:t xml:space="preserve">Engine.</w:t>
      </w:r>
      <w:r>
        <w:t xml:space="preserve"> </w:t>
      </w:r>
      <w:r>
        <w:t xml:space="preserve">A Python/PyTorch package implementing the Avellaneda–Stoikov</w:t>
      </w:r>
      <w:r>
        <w:t xml:space="preserve"> </w:t>
      </w:r>
      <w:r>
        <w:t xml:space="preserve">model on a single linear asset, with calibration, simulation, and</w:t>
      </w:r>
      <w:r>
        <w:t xml:space="preserve"> </w:t>
      </w:r>
      <w:r>
        <w:t xml:space="preserve">backtesting infrastructure, and a reproducible one-month backtest on</w:t>
      </w:r>
      <w:r>
        <w:t xml:space="preserve"> </w:t>
      </w:r>
      <w:r>
        <w:t xml:space="preserve">Coincall BTC-PERP data documented in a short technical report.</w:t>
      </w:r>
    </w:p>
    <w:p>
      <w:pPr>
        <w:pStyle w:val="BlockText"/>
      </w:pPr>
      <w:r>
        <w:rPr>
          <w:i/>
          <w:iCs/>
        </w:rPr>
        <w:t xml:space="preserve">Datasets:</w:t>
      </w:r>
      <w:r>
        <w:t xml:space="preserve"> </w:t>
      </w:r>
      <w:r>
        <w:rPr>
          <w:rStyle w:val="VerbatimChar"/>
        </w:rPr>
        <w:t xml:space="preserve">coincall_btc_perp_l2_2025Q4.parquet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coincall_btc_perp_trades_2025Q4.parquet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coincall_intensity_calibration_set.parquet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Acceptance criteria:</w:t>
      </w:r>
      <w:r>
        <w:t xml:space="preserve"> </w:t>
      </w:r>
      <w:r>
        <w:t xml:space="preserve">quote computation vectorized over inventory in</w:t>
      </w:r>
      <w:r>
        <w:t xml:space="preserve"> </w:t>
      </w:r>
      <w:r>
        <w:t xml:space="preserve">PyTorch; intensity calibration with χ² goodness-of-fit; backtest P&amp;L</w:t>
      </w:r>
      <w:r>
        <w:t xml:space="preserve"> </w:t>
      </w:r>
      <w:r>
        <w:t xml:space="preserve">within ±50% of the mentor’s reference; reproducible under a fixed seed;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coverage of the core quote computation; report ≤ 10 pages.</w:t>
      </w:r>
    </w:p>
    <w:p>
      <w:r>
        <w:pict>
          <v:rect style="width:0;height:1.5pt" o:hralign="center" o:hrstd="t" o:hr="t"/>
        </w:pict>
      </w:r>
    </w:p>
    <w:bookmarkEnd w:id="25"/>
    <w:bookmarkStart w:id="26" w:name="Xbe4cb35d733889510926226f5521da363105cdc"/>
    <w:p>
      <w:pPr>
        <w:pStyle w:val="Heading3"/>
      </w:pPr>
      <w:r>
        <w:t xml:space="preserve">Week 6 — Options Pricing, the Volatility Surface, and Calibration</w:t>
      </w:r>
    </w:p>
    <w:p>
      <w:pPr>
        <w:pStyle w:val="FirstParagraph"/>
      </w:pPr>
      <w:r>
        <w:rPr>
          <w:i/>
          <w:iCs/>
        </w:rPr>
        <w:t xml:space="preserve">Theme: options theory and the practical construction of a volatility</w:t>
      </w:r>
      <w:r>
        <w:rPr>
          <w:i/>
          <w:iCs/>
        </w:rPr>
        <w:t xml:space="preserve"> </w:t>
      </w:r>
      <w:r>
        <w:rPr>
          <w:i/>
          <w:iCs/>
        </w:rPr>
        <w:t xml:space="preserve">surface.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8"/>
        </w:numPr>
      </w:pPr>
      <w:r>
        <w:t xml:space="preserve">Recall the Greeks of European options, including the second-order Greeks</w:t>
      </w:r>
      <w:r>
        <w:t xml:space="preserve"> </w:t>
      </w:r>
      <w:r>
        <w:t xml:space="preserve">vanna and volga.</w:t>
      </w:r>
    </w:p>
    <w:p>
      <w:pPr>
        <w:pStyle w:val="Compact"/>
        <w:numPr>
          <w:ilvl w:val="0"/>
          <w:numId w:val="1008"/>
        </w:numPr>
      </w:pPr>
      <w:r>
        <w:t xml:space="preserve">State the no-static-arbitrage constraints on the volatility surface and</w:t>
      </w:r>
      <w:r>
        <w:t xml:space="preserve"> </w:t>
      </w:r>
      <w:r>
        <w:t xml:space="preserve">verify them on parametric surfaces.</w:t>
      </w:r>
    </w:p>
    <w:p>
      <w:pPr>
        <w:pStyle w:val="Compact"/>
        <w:numPr>
          <w:ilvl w:val="0"/>
          <w:numId w:val="1008"/>
        </w:numPr>
      </w:pPr>
      <w:r>
        <w:t xml:space="preserve">Calibrate SVI and SABR parameterizations to live Coincall options data</w:t>
      </w:r>
      <w:r>
        <w:t xml:space="preserve"> </w:t>
      </w:r>
      <w:r>
        <w:t xml:space="preserve">with attention to stability.</w:t>
      </w:r>
    </w:p>
    <w:p>
      <w:pPr>
        <w:pStyle w:val="FirstParagraph"/>
      </w:pPr>
      <w:r>
        <w:rPr>
          <w:b/>
          <w:bCs/>
        </w:rPr>
        <w:t xml:space="preserve">Lecture 1 — Greeks and the Volatility Surface.</w:t>
      </w:r>
      <w:r>
        <w:t xml:space="preserve"> </w:t>
      </w:r>
      <w:r>
        <w:t xml:space="preserve">Black–Scholes and the</w:t>
      </w:r>
      <w:r>
        <w:t xml:space="preserve"> </w:t>
      </w:r>
      <w:r>
        <w:t xml:space="preserve">Greek vector; vanna, volga, and volatility risk; the implied-volatility</w:t>
      </w:r>
      <w:r>
        <w:t xml:space="preserve"> </w:t>
      </w:r>
      <w:r>
        <w:t xml:space="preserve">smile and term structure; calendar and butterfly arbitrage; features of</w:t>
      </w:r>
      <w:r>
        <w:t xml:space="preserve"> </w:t>
      </w:r>
      <w:r>
        <w:t xml:space="preserve">the crypto options surface (sparse strikes, wide wings, quote staleness).</w:t>
      </w:r>
    </w:p>
    <w:p>
      <w:pPr>
        <w:pStyle w:val="BodyText"/>
      </w:pPr>
      <w:r>
        <w:rPr>
          <w:b/>
          <w:bCs/>
        </w:rPr>
        <w:t xml:space="preserve">Lecture 2 — Parameterization and Calibration.</w:t>
      </w:r>
      <w:r>
        <w:t xml:space="preserve"> </w:t>
      </w:r>
      <w:r>
        <w:t xml:space="preserve">Raw SVI and the</w:t>
      </w:r>
      <w:r>
        <w:t xml:space="preserve"> </w:t>
      </w:r>
      <w:r>
        <w:t xml:space="preserve">arbitrage-free SVI/eSSVI formulation; SVI calibration by nonlinear least</w:t>
      </w:r>
      <w:r>
        <w:t xml:space="preserve"> </w:t>
      </w:r>
      <w:r>
        <w:t xml:space="preserve">squares; the SABR formula and the Hagan expansion; time-stability of</w:t>
      </w:r>
      <w:r>
        <w:t xml:space="preserve"> </w:t>
      </w:r>
      <w:r>
        <w:t xml:space="preserve">calibrated parameters; diagnostic plots.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Live calibration in PyTorch: load a Coincall chain</w:t>
      </w:r>
      <w:r>
        <w:t xml:space="preserve"> </w:t>
      </w:r>
      <w:r>
        <w:t xml:space="preserve">snapshot, fit SVI and SABR (using autograd for the Jacobians), and produce</w:t>
      </w:r>
      <w:r>
        <w:t xml:space="preserve"> </w:t>
      </w:r>
      <w:r>
        <w:t xml:space="preserve">the standard diagnostics.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Gatheral (2006), Ch. 1–5; Gatheral and Jacquier</w:t>
      </w:r>
      <w:r>
        <w:t xml:space="preserve"> </w:t>
      </w:r>
      <w:r>
        <w:t xml:space="preserve">(2014); Hagan et al. (2002); Hull (2021), Ch. 15, 19–21.</w:t>
      </w:r>
    </w:p>
    <w:p>
      <w:pPr>
        <w:pStyle w:val="BodyText"/>
      </w:pPr>
      <w:r>
        <w:rPr>
          <w:b/>
          <w:bCs/>
        </w:rPr>
        <w:t xml:space="preserve">Problem Set 6 (Python/PyTorch).</w:t>
      </w:r>
      <w:r>
        <w:t xml:space="preserve"> </w:t>
      </w:r>
      <w:r>
        <w:t xml:space="preserve">Black–Scholes price and Greeks with</w:t>
      </w:r>
      <w:r>
        <w:t xml:space="preserve"> </w:t>
      </w:r>
      <w:r>
        <w:t xml:space="preserve">PyTorch autograd (including vanna/volga); SVI with arbitrage-free</w:t>
      </w:r>
      <w:r>
        <w:t xml:space="preserve"> </w:t>
      </w:r>
      <w:r>
        <w:t xml:space="preserve">constraint checks; SVI and SABR calibration to a Coincall snapshot; and a</w:t>
      </w:r>
      <w:r>
        <w:t xml:space="preserve"> </w:t>
      </w:r>
      <w:r>
        <w:t xml:space="preserve">one-month daily-calibration stability study with smoothing. See the</w:t>
      </w:r>
      <w:r>
        <w:t xml:space="preserve"> </w:t>
      </w:r>
      <w:r>
        <w:t xml:space="preserve">Problem Sets booklet.</w:t>
      </w:r>
    </w:p>
    <w:p>
      <w:r>
        <w:pict>
          <v:rect style="width:0;height:1.5pt" o:hralign="center" o:hrstd="t" o:hr="t"/>
        </w:pict>
      </w:r>
    </w:p>
    <w:bookmarkEnd w:id="26"/>
    <w:bookmarkStart w:id="27" w:name="Xf61a03b9edaac0e2ef3ac4a8d7b05c57e78d118"/>
    <w:p>
      <w:pPr>
        <w:pStyle w:val="Heading3"/>
      </w:pPr>
      <w:r>
        <w:t xml:space="preserve">Week 7 — Fast Computation of Prices, Greeks, Implied Volatility, and Surfaces</w:t>
      </w:r>
    </w:p>
    <w:p>
      <w:pPr>
        <w:pStyle w:val="FirstParagraph"/>
      </w:pPr>
      <w:r>
        <w:rPr>
          <w:i/>
          <w:iCs/>
        </w:rPr>
        <w:t xml:space="preserve">Theme: the latency budget of an options market maker, and the C++</w:t>
      </w:r>
      <w:r>
        <w:rPr>
          <w:i/>
          <w:iCs/>
        </w:rPr>
        <w:t xml:space="preserve"> </w:t>
      </w:r>
      <w:r>
        <w:rPr>
          <w:i/>
          <w:iCs/>
        </w:rPr>
        <w:t xml:space="preserve">numerical methods that meet it.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Milestone 2.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9"/>
        </w:numPr>
      </w:pPr>
      <w:r>
        <w:t xml:space="preserve">Implement and benchmark characteristic-function pricing methods</w:t>
      </w:r>
      <w:r>
        <w:t xml:space="preserve"> </w:t>
      </w:r>
      <w:r>
        <w:t xml:space="preserve">(Carr–Madan FFT and Fang–Oosterlee COS) in C++.</w:t>
      </w:r>
    </w:p>
    <w:p>
      <w:pPr>
        <w:pStyle w:val="Compact"/>
        <w:numPr>
          <w:ilvl w:val="0"/>
          <w:numId w:val="1009"/>
        </w:numPr>
      </w:pPr>
      <w:r>
        <w:t xml:space="preserve">Implement robust, fast implied-volatility inversion and full-surface</w:t>
      </w:r>
      <w:r>
        <w:t xml:space="preserve"> </w:t>
      </w:r>
      <w:r>
        <w:t xml:space="preserve">revaluation in C++.</w:t>
      </w:r>
    </w:p>
    <w:p>
      <w:pPr>
        <w:pStyle w:val="Compact"/>
        <w:numPr>
          <w:ilvl w:val="0"/>
          <w:numId w:val="1009"/>
        </w:numPr>
      </w:pPr>
      <w:r>
        <w:t xml:space="preserve">Expose the C++ kernels to Python with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and validate Greeks</w:t>
      </w:r>
      <w:r>
        <w:t xml:space="preserve"> </w:t>
      </w:r>
      <w:r>
        <w:t xml:space="preserve">against PyTorch autograd.</w:t>
      </w:r>
    </w:p>
    <w:p>
      <w:pPr>
        <w:pStyle w:val="FirstParagraph"/>
      </w:pPr>
      <w:r>
        <w:rPr>
          <w:b/>
          <w:bCs/>
        </w:rPr>
        <w:t xml:space="preserve">Lecture 1 — Characteristic-Function Pricing and Implied Volatility in</w:t>
      </w:r>
      <w:r>
        <w:rPr>
          <w:b/>
          <w:bCs/>
        </w:rPr>
        <w:t xml:space="preserve"> </w:t>
      </w:r>
      <w:r>
        <w:rPr>
          <w:b/>
          <w:bCs/>
        </w:rPr>
        <w:t xml:space="preserve">C++.</w:t>
      </w:r>
      <w:r>
        <w:t xml:space="preserve"> </w:t>
      </w:r>
      <w:r>
        <w:t xml:space="preserve">The characteristic function under Black–Scholes and Heston; the</w:t>
      </w:r>
      <w:r>
        <w:t xml:space="preserve"> </w:t>
      </w:r>
      <w:r>
        <w:t xml:space="preserve">Carr–Madan FFT method; the Fang–Oosterlee COS method and its truncation</w:t>
      </w:r>
      <w:r>
        <w:t xml:space="preserve"> </w:t>
      </w:r>
      <w:r>
        <w:t xml:space="preserve">interval; robust implied-vol inversion (Jäckel-style rational starts plus</w:t>
      </w:r>
      <w:r>
        <w:t xml:space="preserve"> </w:t>
      </w:r>
      <w:r>
        <w:t xml:space="preserve">a safeguarded Newton/Halley step); vectorizing a whole surface.</w:t>
      </w:r>
    </w:p>
    <w:p>
      <w:pPr>
        <w:pStyle w:val="BodyText"/>
      </w:pPr>
      <w:r>
        <w:rPr>
          <w:b/>
          <w:bCs/>
        </w:rPr>
        <w:t xml:space="preserve">Lecture 2 — Binding C++ to Python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pybind11</w:t>
      </w:r>
      <w:r>
        <w:rPr>
          <w:b/>
          <w:bCs/>
        </w:rP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t xml:space="preserve">binder lecture. How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module is structured and built with</w:t>
      </w:r>
      <w:r>
        <w:t xml:space="preserve"> </w:t>
      </w:r>
      <w:r>
        <w:t xml:space="preserve">CMake; passing NumPy/PyTorch tensors across the boundary without copying</w:t>
      </w:r>
      <w:r>
        <w:t xml:space="preserve"> </w:t>
      </w:r>
      <w:r>
        <w:t xml:space="preserve">(buffer protocol,</w:t>
      </w:r>
      <w:r>
        <w:t xml:space="preserve"> </w:t>
      </w:r>
      <w:r>
        <w:rPr>
          <w:rStyle w:val="VerbatimChar"/>
        </w:rPr>
        <w:t xml:space="preserve">py::array_t</w:t>
      </w:r>
      <w:r>
        <w:t xml:space="preserve">); releasing the GIL around the C++ hot</w:t>
      </w:r>
      <w:r>
        <w:t xml:space="preserve"> </w:t>
      </w:r>
      <w:r>
        <w:t xml:space="preserve">loop; and how to keep a single source of truth for Greeks by validating</w:t>
      </w:r>
      <w:r>
        <w:t xml:space="preserve"> </w:t>
      </w:r>
      <w:r>
        <w:t xml:space="preserve">the C++ results against PyTorch autograd. We rely on PyTorch for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Greeks rather than hand-rolling adjoint AD in C++ — autograd</w:t>
      </w:r>
      <w:r>
        <w:t xml:space="preserve"> </w:t>
      </w:r>
      <w:r>
        <w:t xml:space="preserve">is the oracle, C++ is the speed.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Profile a naive Python pricer, move the kernel to C++,</w:t>
      </w:r>
      <w:r>
        <w:t xml:space="preserve"> </w:t>
      </w:r>
      <w:r>
        <w:t xml:space="preserve">bind it with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and re-benchmark — targeting at least an order of</w:t>
      </w:r>
      <w:r>
        <w:t xml:space="preserve"> </w:t>
      </w:r>
      <w:r>
        <w:t xml:space="preserve">magnitude speedup and a sub-5ms full-surface revaluation.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Carr and Madan (1999); Fang and Oosterlee (2008);</w:t>
      </w:r>
      <w:r>
        <w:t xml:space="preserve"> </w:t>
      </w:r>
      <w:r>
        <w:t xml:space="preserve">Jäckel (2015),</w:t>
      </w:r>
      <w:r>
        <w:t xml:space="preserve"> </w:t>
      </w:r>
      <w:r>
        <w:rPr>
          <w:i/>
          <w:iCs/>
        </w:rPr>
        <w:t xml:space="preserve">Let’s Be Rational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documentation</w:t>
      </w:r>
      <w:r>
        <w:t xml:space="preserve"> </w:t>
      </w:r>
      <w:r>
        <w:t xml:space="preserve">(overview, NumPy, and GIL sections).</w:t>
      </w:r>
    </w:p>
    <w:p>
      <w:pPr>
        <w:pStyle w:val="BodyText"/>
      </w:pPr>
      <w:r>
        <w:rPr>
          <w:b/>
          <w:bCs/>
        </w:rPr>
        <w:t xml:space="preserve">Problem Set 7 (C++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pybind11</w:t>
      </w:r>
      <w:r>
        <w:rPr>
          <w:b/>
          <w:bCs/>
        </w:rPr>
        <w:t xml:space="preserve">, called from Python).</w:t>
      </w:r>
      <w:r>
        <w:t xml:space="preserve"> </w:t>
      </w:r>
      <w:r>
        <w:t xml:space="preserve">Constitutes</w:t>
      </w:r>
      <w:r>
        <w:t xml:space="preserve"> </w:t>
      </w:r>
      <w:r>
        <w:t xml:space="preserve">Milestone 2: a C++ COS/Carr–Madan pricer, a robust C++ implied-vol solver,</w:t>
      </w:r>
      <w:r>
        <w:t xml:space="preserve"> </w:t>
      </w:r>
      <w:r>
        <w:t xml:space="preserve">a vectorized surface revaluation, all bound to Python via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, with</w:t>
      </w:r>
      <w:r>
        <w:t xml:space="preserve"> </w:t>
      </w:r>
      <w:r>
        <w:t xml:space="preserve">Greeks validated against PyTorch autograd and latency reported as a</w:t>
      </w:r>
      <w:r>
        <w:t xml:space="preserve"> </w:t>
      </w:r>
      <w:r>
        <w:t xml:space="preserve">distribution. See the Problem Sets booklet.</w:t>
      </w:r>
    </w:p>
    <w:p>
      <w:pPr>
        <w:pStyle w:val="BlockText"/>
      </w:pPr>
      <w:r>
        <w:rPr>
          <w:b/>
          <w:bCs/>
        </w:rPr>
        <w:t xml:space="preserve">Milestone Deliverable — Milestone 2: Fast Pricing and Greeks</w:t>
      </w:r>
      <w:r>
        <w:rPr>
          <w:b/>
          <w:bCs/>
        </w:rPr>
        <w:t xml:space="preserve"> </w:t>
      </w:r>
      <w:r>
        <w:rPr>
          <w:b/>
          <w:bCs/>
        </w:rPr>
        <w:t xml:space="preserve">Library.</w:t>
      </w:r>
      <w:r>
        <w:t xml:space="preserve"> </w:t>
      </w:r>
      <w:r>
        <w:t xml:space="preserve">A C++ library that prices European options under</w:t>
      </w:r>
      <w:r>
        <w:t xml:space="preserve"> </w:t>
      </w:r>
      <w:r>
        <w:t xml:space="preserve">Black–Scholes and Heston via characteristic-function methods, inverts</w:t>
      </w:r>
      <w:r>
        <w:t xml:space="preserve"> </w:t>
      </w:r>
      <w:r>
        <w:t xml:space="preserve">implied volatility robustly, computes the full Greek vector, and</w:t>
      </w:r>
      <w:r>
        <w:t xml:space="preserve"> </w:t>
      </w:r>
      <w:r>
        <w:t xml:space="preserve">revalues the entire calibrated Coincall surface within a strict latency</w:t>
      </w:r>
      <w:r>
        <w:t xml:space="preserve"> </w:t>
      </w:r>
      <w:r>
        <w:t xml:space="preserve">budget — all exposed to Python through a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module. Greeks are</w:t>
      </w:r>
      <w:r>
        <w:t xml:space="preserve"> </w:t>
      </w:r>
      <w:r>
        <w:t xml:space="preserve">validated against an independent PyTorch-autograd reference.</w:t>
      </w:r>
    </w:p>
    <w:p>
      <w:pPr>
        <w:pStyle w:val="BlockText"/>
      </w:pPr>
      <w:r>
        <w:rPr>
          <w:i/>
          <w:iCs/>
        </w:rPr>
        <w:t xml:space="preserve">Datasets:</w:t>
      </w:r>
      <w:r>
        <w:t xml:space="preserve"> </w:t>
      </w:r>
      <w:r>
        <w:rPr>
          <w:rStyle w:val="VerbatimChar"/>
        </w:rPr>
        <w:t xml:space="preserve">coincall_btc_options_chain_snapshots_2025Q4.parquet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coincall_calibrated_svi_surfaces_2025Q4.parquet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coincall_reference_prices_2025Q4.parquet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Acceptance criteria:</w:t>
      </w:r>
      <w:r>
        <w:t xml:space="preserve"> </w:t>
      </w:r>
      <w:r>
        <w:t xml:space="preserve">full BTC surface (300–500 contracts) revalued</w:t>
      </w:r>
      <w:r>
        <w:t xml:space="preserve"> </w:t>
      </w:r>
      <w:r>
        <w:t xml:space="preserve">with full Greek vector in under 5 ms on one CPU core; max relative</w:t>
      </w:r>
      <w:r>
        <w:t xml:space="preserve"> </w:t>
      </w:r>
      <w:r>
        <w:t xml:space="preserve">pricing error 1e-4 vs. reference; Greeks within 1e-4 of PyTorch</w:t>
      </w:r>
      <w:r>
        <w:t xml:space="preserve"> </w:t>
      </w:r>
      <w:r>
        <w:t xml:space="preserve">autograd; clean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API importable from Python; tests over all</w:t>
      </w:r>
      <w:r>
        <w:t xml:space="preserve"> </w:t>
      </w:r>
      <w:r>
        <w:t xml:space="preserve">pricers, the implied-vol solver, and the surface adapter; latency</w:t>
      </w:r>
      <w:r>
        <w:t xml:space="preserve"> </w:t>
      </w:r>
      <w:r>
        <w:t xml:space="preserve">reported as a distribution, not just a mean.</w:t>
      </w:r>
    </w:p>
    <w:p>
      <w:r>
        <w:pict>
          <v:rect style="width:0;height:1.5pt" o:hralign="center" o:hrstd="t" o:hr="t"/>
        </w:pict>
      </w:r>
    </w:p>
    <w:bookmarkEnd w:id="27"/>
    <w:bookmarkStart w:id="28" w:name="Xc9bcb70753662f9cf9c30aa35cf3cc0b8f55257"/>
    <w:p>
      <w:pPr>
        <w:pStyle w:val="Heading3"/>
      </w:pPr>
      <w:r>
        <w:t xml:space="preserve">Week 8 — Options Market Making Theory and Dynamic Hedging</w:t>
      </w:r>
    </w:p>
    <w:p>
      <w:pPr>
        <w:pStyle w:val="FirstParagraph"/>
      </w:pPr>
      <w:r>
        <w:rPr>
          <w:i/>
          <w:iCs/>
        </w:rPr>
        <w:t xml:space="preserve">Theme: extending Avellaneda–Stoikov to a multi-Greek inventory penalty,</w:t>
      </w:r>
      <w:r>
        <w:rPr>
          <w:i/>
          <w:iCs/>
        </w:rPr>
        <w:t xml:space="preserve"> </w:t>
      </w:r>
      <w:r>
        <w:rPr>
          <w:i/>
          <w:iCs/>
        </w:rPr>
        <w:t xml:space="preserve">and integrating a dynamic hedging policy.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0"/>
        </w:numPr>
      </w:pPr>
      <w:r>
        <w:t xml:space="preserve">Set up the El Aoud–Abergel framework, in which inventory is a vector of</w:t>
      </w:r>
      <w:r>
        <w:t xml:space="preserve"> </w:t>
      </w:r>
      <w:r>
        <w:t xml:space="preserve">Greeks.</w:t>
      </w:r>
    </w:p>
    <w:p>
      <w:pPr>
        <w:pStyle w:val="Compact"/>
        <w:numPr>
          <w:ilvl w:val="0"/>
          <w:numId w:val="1010"/>
        </w:numPr>
      </w:pPr>
      <w:r>
        <w:t xml:space="preserve">Understand the multi-Greek HJB system and the inventory penalty as a</w:t>
      </w:r>
      <w:r>
        <w:t xml:space="preserve"> </w:t>
      </w:r>
      <w:r>
        <w:t xml:space="preserve">quadratic form.</w:t>
      </w:r>
    </w:p>
    <w:p>
      <w:pPr>
        <w:pStyle w:val="Compact"/>
        <w:numPr>
          <w:ilvl w:val="0"/>
          <w:numId w:val="1010"/>
        </w:numPr>
      </w:pPr>
      <w:r>
        <w:t xml:space="preserve">Understand delta and gamma hedging and quantify the P&amp;L attribution of a</w:t>
      </w:r>
      <w:r>
        <w:t xml:space="preserve"> </w:t>
      </w:r>
      <w:r>
        <w:t xml:space="preserve">hedged options book.</w:t>
      </w:r>
    </w:p>
    <w:p>
      <w:pPr>
        <w:pStyle w:val="FirstParagraph"/>
      </w:pPr>
      <w:r>
        <w:rPr>
          <w:b/>
          <w:bCs/>
        </w:rPr>
        <w:t xml:space="preserve">Lecture 1 — Multi-Dimensional Inventory and the Multi-Greek HJB.</w:t>
      </w:r>
      <w:r>
        <w:t xml:space="preserve"> </w:t>
      </w:r>
      <w:r>
        <w:t xml:space="preserve">The</w:t>
      </w:r>
      <w:r>
        <w:t xml:space="preserve"> </w:t>
      </w:r>
      <w:r>
        <w:t xml:space="preserve">inventory vector q = (Δ, Γ, ν, …) and its dynamics under quoting; the</w:t>
      </w:r>
      <w:r>
        <w:t xml:space="preserve"> </w:t>
      </w:r>
      <w:r>
        <w:t xml:space="preserve">quadratic inventory penalty and its economic interpretation; the</w:t>
      </w:r>
      <w:r>
        <w:t xml:space="preserve"> </w:t>
      </w:r>
      <w:r>
        <w:t xml:space="preserve">multi-Greek HJB and separation ansatz; reduction to a problem on the</w:t>
      </w:r>
      <w:r>
        <w:t xml:space="preserve"> </w:t>
      </w:r>
      <w:r>
        <w:t xml:space="preserve">inventory vector; verification that it reduces to Avellaneda–Stoikov in</w:t>
      </w:r>
      <w:r>
        <w:t xml:space="preserve"> </w:t>
      </w:r>
      <w:r>
        <w:t xml:space="preserve">the one-dimensional case.</w:t>
      </w:r>
    </w:p>
    <w:p>
      <w:pPr>
        <w:pStyle w:val="BodyText"/>
      </w:pPr>
      <w:r>
        <w:rPr>
          <w:b/>
          <w:bCs/>
        </w:rPr>
        <w:t xml:space="preserve">Lecture 2 — Dynamic Hedging and Integration with Quoting.</w:t>
      </w:r>
      <w:r>
        <w:t xml:space="preserve"> </w:t>
      </w:r>
      <w:r>
        <w:t xml:space="preserve">Continuous</w:t>
      </w:r>
      <w:r>
        <w:t xml:space="preserve"> </w:t>
      </w:r>
      <w:r>
        <w:t xml:space="preserve">and discrete delta hedging; the gamma–theta–realized-variance identity;</w:t>
      </w:r>
      <w:r>
        <w:t xml:space="preserve"> </w:t>
      </w:r>
      <w:r>
        <w:t xml:space="preserve">gamma scalping; vega hedging and skew risk; external vs. integrated</w:t>
      </w:r>
      <w:r>
        <w:t xml:space="preserve"> </w:t>
      </w:r>
      <w:r>
        <w:t xml:space="preserve">hedging architectures; perpetual futures as the delta-hedging instrument</w:t>
      </w:r>
      <w:r>
        <w:t xml:space="preserve"> </w:t>
      </w:r>
      <w:r>
        <w:t xml:space="preserve">and funding-rate considerations on Coincall.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Multi-Greek HJB walk-through, then a PyTorch hedged-book</w:t>
      </w:r>
      <w:r>
        <w:t xml:space="preserve"> </w:t>
      </w:r>
      <w:r>
        <w:t xml:space="preserve">simulation comparing hedge policies and P&amp;L distributions.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El Aoud and Abergel (2015); Taleb (1997), selected</w:t>
      </w:r>
      <w:r>
        <w:t xml:space="preserve"> </w:t>
      </w:r>
      <w:r>
        <w:t xml:space="preserve">chapters; Cartea, Jaikumar, and Penalva (2015), Ch. 11.</w:t>
      </w:r>
    </w:p>
    <w:p>
      <w:pPr>
        <w:pStyle w:val="BodyText"/>
      </w:pPr>
      <w:r>
        <w:rPr>
          <w:b/>
          <w:bCs/>
        </w:rPr>
        <w:t xml:space="preserve">Problem Set 8 (Python/PyTorch).</w:t>
      </w:r>
      <w:r>
        <w:t xml:space="preserve"> </w:t>
      </w:r>
      <w:r>
        <w:t xml:space="preserve">Multi-Greek inventory aggregation and</w:t>
      </w:r>
      <w:r>
        <w:t xml:space="preserve"> </w:t>
      </w:r>
      <w:r>
        <w:t xml:space="preserve">dynamics; a PyTorch solver for the El Aoud–Abergel reduced problem</w:t>
      </w:r>
      <w:r>
        <w:t xml:space="preserve"> </w:t>
      </w:r>
      <w:r>
        <w:t xml:space="preserve">verified to collapse to Avellaneda–Stoikov in 1-D; penalty-matrix</w:t>
      </w:r>
      <w:r>
        <w:t xml:space="preserve"> </w:t>
      </w:r>
      <w:r>
        <w:t xml:space="preserve">calibration from Coincall Greek covariances; numerical verification of the</w:t>
      </w:r>
      <w:r>
        <w:t xml:space="preserve"> </w:t>
      </w:r>
      <w:r>
        <w:t xml:space="preserve">gamma–theta–variance identity; and a threshold delta-hedger integrated</w:t>
      </w:r>
      <w:r>
        <w:t xml:space="preserve"> </w:t>
      </w:r>
      <w:r>
        <w:t xml:space="preserve">with the Week 5 engine. See the Problem Sets booklet.</w:t>
      </w:r>
    </w:p>
    <w:p>
      <w:r>
        <w:pict>
          <v:rect style="width:0;height:1.5pt" o:hralign="center" o:hrstd="t" o:hr="t"/>
        </w:pict>
      </w:r>
    </w:p>
    <w:bookmarkEnd w:id="28"/>
    <w:bookmarkStart w:id="29" w:name="X1299a3a6636f450fa3296e472f68099c8cd09e6"/>
    <w:p>
      <w:pPr>
        <w:pStyle w:val="Heading3"/>
      </w:pPr>
      <w:r>
        <w:t xml:space="preserve">Week 9 — Backtesting, Risk Analysis, and Taker Strategies</w:t>
      </w:r>
    </w:p>
    <w:p>
      <w:pPr>
        <w:pStyle w:val="FirstParagraph"/>
      </w:pPr>
      <w:r>
        <w:rPr>
          <w:i/>
          <w:iCs/>
        </w:rPr>
        <w:t xml:space="preserve">Theme: assembling the full system and validating it on historical data,</w:t>
      </w:r>
      <w:r>
        <w:rPr>
          <w:i/>
          <w:iCs/>
        </w:rPr>
        <w:t xml:space="preserve"> </w:t>
      </w:r>
      <w:r>
        <w:rPr>
          <w:i/>
          <w:iCs/>
        </w:rPr>
        <w:t xml:space="preserve">with a practitioner’s view of taker flow.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Milestone 3.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1"/>
        </w:numPr>
      </w:pPr>
      <w:r>
        <w:t xml:space="preserve">Implement an event-driven backtest harness suitable for options market</w:t>
      </w:r>
      <w:r>
        <w:t xml:space="preserve"> </w:t>
      </w:r>
      <w:r>
        <w:t xml:space="preserve">making.</w:t>
      </w:r>
    </w:p>
    <w:p>
      <w:pPr>
        <w:pStyle w:val="Compact"/>
        <w:numPr>
          <w:ilvl w:val="0"/>
          <w:numId w:val="1011"/>
        </w:numPr>
      </w:pPr>
      <w:r>
        <w:t xml:space="preserve">Produce a full P&amp;L attribution (spread, inventory, gamma, vega,</w:t>
      </w:r>
      <w:r>
        <w:t xml:space="preserve"> </w:t>
      </w:r>
      <w:r>
        <w:t xml:space="preserve">hedging).</w:t>
      </w:r>
    </w:p>
    <w:p>
      <w:pPr>
        <w:pStyle w:val="Compact"/>
        <w:numPr>
          <w:ilvl w:val="0"/>
          <w:numId w:val="1011"/>
        </w:numPr>
      </w:pPr>
      <w:r>
        <w:t xml:space="preserve">Analyze risk metrics and identify regimes of out- and under-performance.</w:t>
      </w:r>
    </w:p>
    <w:p>
      <w:pPr>
        <w:pStyle w:val="Compact"/>
        <w:numPr>
          <w:ilvl w:val="0"/>
          <w:numId w:val="1011"/>
        </w:numPr>
      </w:pPr>
      <w:r>
        <w:t xml:space="preserve">Understand taker strategies and how aggressive flow shapes the maker’s</w:t>
      </w:r>
      <w:r>
        <w:t xml:space="preserve"> </w:t>
      </w:r>
      <w:r>
        <w:t xml:space="preserve">problem.</w:t>
      </w:r>
    </w:p>
    <w:p>
      <w:pPr>
        <w:pStyle w:val="FirstParagraph"/>
      </w:pPr>
      <w:r>
        <w:rPr>
          <w:b/>
          <w:bCs/>
        </w:rPr>
        <w:t xml:space="preserve">Lecture 1 — Backtesting Architecture and Risk Metrics.</w:t>
      </w:r>
      <w:r>
        <w:t xml:space="preserve"> </w:t>
      </w:r>
      <w:r>
        <w:t xml:space="preserve">Event-driven</w:t>
      </w:r>
      <w:r>
        <w:t xml:space="preserve"> </w:t>
      </w:r>
      <w:r>
        <w:t xml:space="preserve">simulation (clock, event queue, deterministic replay); the fill simulator;</w:t>
      </w:r>
      <w:r>
        <w:t xml:space="preserve"> </w:t>
      </w:r>
      <w:r>
        <w:t xml:space="preserve">state tracking (cash, inventory by contract, aggregated Greeks, hedge</w:t>
      </w:r>
      <w:r>
        <w:t xml:space="preserve"> </w:t>
      </w:r>
      <w:r>
        <w:t xml:space="preserve">position); pitfalls (look-ahead bias, unrealistic fills, expiry handling);</w:t>
      </w:r>
      <w:r>
        <w:t xml:space="preserve"> </w:t>
      </w:r>
      <w:r>
        <w:t xml:space="preserve">Sharpe/Sortino/Calmar, drawdown, and P&amp;L attribution; the deflated Sharpe</w:t>
      </w:r>
      <w:r>
        <w:t xml:space="preserve"> </w:t>
      </w:r>
      <w:r>
        <w:t xml:space="preserve">ratio and block-bootstrap confidence intervals.</w:t>
      </w:r>
    </w:p>
    <w:p>
      <w:pPr>
        <w:pStyle w:val="BodyText"/>
      </w:pPr>
      <w:r>
        <w:rPr>
          <w:b/>
          <w:bCs/>
        </w:rPr>
        <w:t xml:space="preserve">Lecture 2 (Guest — Fenni Kang, Coincall) — Taker Strategies.</w:t>
      </w:r>
      <w:r>
        <w:t xml:space="preserve"> </w:t>
      </w:r>
      <w:r>
        <w:t xml:space="preserve">A</w:t>
      </w:r>
      <w:r>
        <w:t xml:space="preserve"> </w:t>
      </w:r>
      <w:r>
        <w:t xml:space="preserve">practitioner’s view of liquidity consumption: when and why takers cross</w:t>
      </w:r>
      <w:r>
        <w:t xml:space="preserve"> </w:t>
      </w:r>
      <w:r>
        <w:t xml:space="preserve">the spread; the signals that drive aggressive flow (momentum, liquidation</w:t>
      </w:r>
      <w:r>
        <w:t xml:space="preserve"> </w:t>
      </w:r>
      <w:r>
        <w:t xml:space="preserve">cascades, news); execution styles (sweep, TWAP/VWAP, iceberg-taking); and</w:t>
      </w:r>
      <w:r>
        <w:t xml:space="preserve"> </w:t>
      </w:r>
      <w:r>
        <w:t xml:space="preserve">what taker behaviour implies for the toxicity of the order flow a market</w:t>
      </w:r>
      <w:r>
        <w:t xml:space="preserve"> </w:t>
      </w:r>
      <w:r>
        <w:t xml:space="preserve">maker faces.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Code review of the full backtest; each student presents</w:t>
      </w:r>
      <w:r>
        <w:t xml:space="preserve"> </w:t>
      </w:r>
      <w:r>
        <w:t xml:space="preserve">one regime and walks through the P&amp;L attribution.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Cartea, Jaikumar, and Penalva (2015), Ch. 10–11</w:t>
      </w:r>
      <w:r>
        <w:t xml:space="preserve"> </w:t>
      </w:r>
      <w:r>
        <w:t xml:space="preserve">(re-read); Bailey and López de Prado (2014); López de Prado (2018), Ch.</w:t>
      </w:r>
      <w:r>
        <w:t xml:space="preserve"> </w:t>
      </w:r>
      <w:r>
        <w:t xml:space="preserve">11–13.</w:t>
      </w:r>
    </w:p>
    <w:p>
      <w:pPr>
        <w:pStyle w:val="BodyText"/>
      </w:pPr>
      <w:r>
        <w:rPr>
          <w:b/>
          <w:bCs/>
        </w:rPr>
        <w:t xml:space="preserve">Problem Set 9 (Python/PyTorch).</w:t>
      </w:r>
      <w:r>
        <w:t xml:space="preserve"> </w:t>
      </w:r>
      <w:r>
        <w:t xml:space="preserve">Constitutes Milestone 3: an</w:t>
      </w:r>
      <w:r>
        <w:t xml:space="preserve"> </w:t>
      </w:r>
      <w:r>
        <w:t xml:space="preserve">event-driven backtest with deterministic replay, a calibrated/validated</w:t>
      </w:r>
      <w:r>
        <w:t xml:space="preserve"> </w:t>
      </w:r>
      <w:r>
        <w:t xml:space="preserve">fill simulator, a full multi-Greek backtest with risk metrics and Greek</w:t>
      </w:r>
      <w:r>
        <w:t xml:space="preserve"> </w:t>
      </w:r>
      <w:r>
        <w:t xml:space="preserve">time series, the P&amp;L attribution decomposition, and a worst-drawdown</w:t>
      </w:r>
      <w:r>
        <w:t xml:space="preserve"> </w:t>
      </w:r>
      <w:r>
        <w:t xml:space="preserve">forensic with a taker-flow analysis informed by the guest lecture. See the</w:t>
      </w:r>
      <w:r>
        <w:t xml:space="preserve"> </w:t>
      </w:r>
      <w:r>
        <w:t xml:space="preserve">Problem Sets booklet.</w:t>
      </w:r>
    </w:p>
    <w:p>
      <w:pPr>
        <w:pStyle w:val="BlockText"/>
      </w:pPr>
      <w:r>
        <w:rPr>
          <w:b/>
          <w:bCs/>
        </w:rPr>
        <w:t xml:space="preserve">Milestone Deliverable — Milestone 3: Full Options Market-Making</w:t>
      </w:r>
      <w:r>
        <w:rPr>
          <w:b/>
          <w:bCs/>
        </w:rPr>
        <w:t xml:space="preserve"> </w:t>
      </w:r>
      <w:r>
        <w:rPr>
          <w:b/>
          <w:bCs/>
        </w:rPr>
        <w:t xml:space="preserve">Backtest.</w:t>
      </w:r>
      <w:r>
        <w:t xml:space="preserve"> </w:t>
      </w:r>
      <w:r>
        <w:t xml:space="preserve">A complete backtest of the multi-Greek engine on three</w:t>
      </w:r>
      <w:r>
        <w:t xml:space="preserve"> </w:t>
      </w:r>
      <w:r>
        <w:t xml:space="preserve">months of Coincall BTC and ETH options data, with full P&amp;L attribution,</w:t>
      </w:r>
      <w:r>
        <w:t xml:space="preserve"> </w:t>
      </w:r>
      <w:r>
        <w:t xml:space="preserve">risk metrics, and Greek-exposure time series, reproducible from a</w:t>
      </w:r>
      <w:r>
        <w:t xml:space="preserve"> </w:t>
      </w:r>
      <w:r>
        <w:t xml:space="preserve">configuration file and documented in a technical report (≤ 20 pages)</w:t>
      </w:r>
      <w:r>
        <w:t xml:space="preserve"> </w:t>
      </w:r>
      <w:r>
        <w:t xml:space="preserve">that includes a drawdown forensic.</w:t>
      </w:r>
    </w:p>
    <w:p>
      <w:pPr>
        <w:pStyle w:val="BlockText"/>
      </w:pPr>
      <w:r>
        <w:rPr>
          <w:i/>
          <w:iCs/>
        </w:rPr>
        <w:t xml:space="preserve">Datasets:</w:t>
      </w:r>
      <w:r>
        <w:t xml:space="preserve"> </w:t>
      </w:r>
      <w:r>
        <w:rPr>
          <w:rStyle w:val="VerbatimChar"/>
        </w:rPr>
        <w:t xml:space="preserve">coincall_btc_options_l2_2025Q4.parquet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coincall_btc_options_trades_2025Q4.parquet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coincall_eth_options_l2_2025Q4.parquet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coincall_eth_options_trades_2025Q4.parquet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coincall_btc_eth_perp_l2_2025Q4.parquet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coincall_funding_rates_2025Q4.parquet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Acceptance criteria:</w:t>
      </w:r>
      <w:r>
        <w:t xml:space="preserve"> </w:t>
      </w:r>
      <w:r>
        <w:t xml:space="preserve">reproducible from config; attribution sums to</w:t>
      </w:r>
      <w:r>
        <w:t xml:space="preserve"> </w:t>
      </w:r>
      <w:r>
        <w:t xml:space="preserve">total P&amp;L within 1 bp; Sharpe reported with block-bootstrap CI; Greek</w:t>
      </w:r>
      <w:r>
        <w:t xml:space="preserve"> </w:t>
      </w:r>
      <w:r>
        <w:t xml:space="preserve">exposures bounded within configured limits; report includes a forensic</w:t>
      </w:r>
      <w:r>
        <w:t xml:space="preserve"> </w:t>
      </w:r>
      <w:r>
        <w:t xml:space="preserve">of at least one drawdown event.</w:t>
      </w:r>
    </w:p>
    <w:p>
      <w:r>
        <w:pict>
          <v:rect style="width:0;height:1.5pt" o:hralign="center" o:hrstd="t" o:hr="t"/>
        </w:pict>
      </w:r>
    </w:p>
    <w:bookmarkEnd w:id="29"/>
    <w:bookmarkStart w:id="30" w:name="X42024a917cab0c70a2b05721a702d71de93690c"/>
    <w:p>
      <w:pPr>
        <w:pStyle w:val="Heading3"/>
      </w:pPr>
      <w:r>
        <w:t xml:space="preserve">Week 10 — Advanced Avellaneda–Stoikov, Structured Products, and Final Presentations</w:t>
      </w:r>
    </w:p>
    <w:p>
      <w:pPr>
        <w:pStyle w:val="FirstParagraph"/>
      </w:pPr>
      <w:r>
        <w:rPr>
          <w:i/>
          <w:iCs/>
        </w:rPr>
        <w:t xml:space="preserve">Theme: advanced extensions of Avellaneda–Stoikov, the corporate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structured-products view, one chosen extension, and the communication of</w:t>
      </w:r>
      <w:r>
        <w:rPr>
          <w:i/>
          <w:iCs/>
        </w:rPr>
        <w:t xml:space="preserve"> </w:t>
      </w:r>
      <w:r>
        <w:rPr>
          <w:i/>
          <w:iCs/>
        </w:rPr>
        <w:t xml:space="preserve">results.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2"/>
        </w:numPr>
      </w:pPr>
      <w:r>
        <w:t xml:space="preserve">Survey advanced extensions of Avellaneda–Stoikov (multi-asset, adverse</w:t>
      </w:r>
      <w:r>
        <w:t xml:space="preserve"> </w:t>
      </w:r>
      <w:r>
        <w:t xml:space="preserve">selection, discrete inventory, signal-driven, robust) and implement one.</w:t>
      </w:r>
    </w:p>
    <w:p>
      <w:pPr>
        <w:pStyle w:val="Compact"/>
        <w:numPr>
          <w:ilvl w:val="0"/>
          <w:numId w:val="1012"/>
        </w:numPr>
      </w:pPr>
      <w:r>
        <w:t xml:space="preserve">Understand how corporates use options through structured products.</w:t>
      </w:r>
    </w:p>
    <w:p>
      <w:pPr>
        <w:pStyle w:val="Compact"/>
        <w:numPr>
          <w:ilvl w:val="0"/>
          <w:numId w:val="1012"/>
        </w:numPr>
      </w:pPr>
      <w:r>
        <w:t xml:space="preserve">Write and present a research-grade report.</w:t>
      </w:r>
    </w:p>
    <w:p>
      <w:pPr>
        <w:pStyle w:val="FirstParagraph"/>
      </w:pPr>
      <w:r>
        <w:rPr>
          <w:b/>
          <w:bCs/>
        </w:rPr>
        <w:t xml:space="preserve">Lecture 1 — Advanced Avellaneda–Stoikov Extensions.</w:t>
      </w:r>
      <w:r>
        <w:t xml:space="preserve"> </w:t>
      </w:r>
      <w:r>
        <w:t xml:space="preserve">Multi-asset</w:t>
      </w:r>
      <w:r>
        <w:t xml:space="preserve"> </w:t>
      </w:r>
      <w:r>
        <w:t xml:space="preserve">market making across BTC and ETH options under a correlated covariance</w:t>
      </w:r>
      <w:r>
        <w:t xml:space="preserve"> </w:t>
      </w:r>
      <w:r>
        <w:t xml:space="preserve">matrix; adverse-selection-aware quoting and skew trading from calibrated</w:t>
      </w:r>
      <w:r>
        <w:t xml:space="preserve"> </w:t>
      </w:r>
      <w:r>
        <w:t xml:space="preserve">SVI parameters; signal-driven quoting (machine-learned order-flow</w:t>
      </w:r>
      <w:r>
        <w:t xml:space="preserve"> </w:t>
      </w:r>
      <w:r>
        <w:t xml:space="preserve">prediction); discrete-inventory formulations; and robust optimization with</w:t>
      </w:r>
      <w:r>
        <w:t xml:space="preserve"> </w:t>
      </w:r>
      <w:r>
        <w:t xml:space="preserve">a worst-case inventory penalty over a confidence set. Students choose one</w:t>
      </w:r>
      <w:r>
        <w:t xml:space="preserve"> </w:t>
      </w:r>
      <w:r>
        <w:t xml:space="preserve">extension by end of day.</w:t>
      </w:r>
    </w:p>
    <w:p>
      <w:pPr>
        <w:pStyle w:val="BodyText"/>
      </w:pPr>
      <w:r>
        <w:rPr>
          <w:b/>
          <w:bCs/>
        </w:rPr>
        <w:t xml:space="preserve">Lecture 2 (Guest — Fenni Kang, Coincall) — Corporate Usage of Options</w:t>
      </w:r>
      <w:r>
        <w:rPr>
          <w:b/>
          <w:bCs/>
        </w:rPr>
        <w:t xml:space="preserve"> </w:t>
      </w:r>
      <w:r>
        <w:rPr>
          <w:b/>
          <w:bCs/>
        </w:rPr>
        <w:t xml:space="preserve">and Structured Products.</w:t>
      </w:r>
      <w:r>
        <w:t xml:space="preserve"> </w:t>
      </w:r>
      <w:r>
        <w:t xml:space="preserve">How corporates and treasuries use options:</w:t>
      </w:r>
      <w:r>
        <w:t xml:space="preserve"> </w:t>
      </w:r>
      <w:r>
        <w:rPr>
          <w:b/>
          <w:bCs/>
        </w:rPr>
        <w:t xml:space="preserve">collars</w:t>
      </w:r>
      <w:r>
        <w:t xml:space="preserve"> </w:t>
      </w:r>
      <w:r>
        <w:t xml:space="preserve">to fix a price band on a holding;</w:t>
      </w:r>
      <w:r>
        <w:t xml:space="preserve"> </w:t>
      </w:r>
      <w:r>
        <w:rPr>
          <w:b/>
          <w:bCs/>
        </w:rPr>
        <w:t xml:space="preserve">accumulators /</w:t>
      </w:r>
      <w:r>
        <w:rPr>
          <w:b/>
          <w:bCs/>
        </w:rPr>
        <w:t xml:space="preserve"> </w:t>
      </w:r>
      <w:r>
        <w:rPr>
          <w:b/>
          <w:bCs/>
        </w:rPr>
        <w:t xml:space="preserve">decumulators</w:t>
      </w:r>
      <w:r>
        <w:t xml:space="preserve"> </w:t>
      </w:r>
      <w:r>
        <w:t xml:space="preserve">for staged accumulation or liquidation; and</w:t>
      </w:r>
      <w:r>
        <w:t xml:space="preserve"> </w:t>
      </w:r>
      <w:r>
        <w:rPr>
          <w:b/>
          <w:bCs/>
        </w:rPr>
        <w:t xml:space="preserve">coupon /</w:t>
      </w:r>
      <w:r>
        <w:rPr>
          <w:b/>
          <w:bCs/>
        </w:rPr>
        <w:t xml:space="preserve"> </w:t>
      </w:r>
      <w:r>
        <w:rPr>
          <w:b/>
          <w:bCs/>
        </w:rPr>
        <w:t xml:space="preserve">yield-enhancement products</w:t>
      </w:r>
      <w:r>
        <w:t xml:space="preserve">. The session links these structured-product</w:t>
      </w:r>
      <w:r>
        <w:t xml:space="preserve"> </w:t>
      </w:r>
      <w:r>
        <w:t xml:space="preserve">flows to the market-maker’s book — how a desk warehouses and hedges the</w:t>
      </w:r>
      <w:r>
        <w:t xml:space="preserve"> </w:t>
      </w:r>
      <w:r>
        <w:t xml:space="preserve">resulting Greek exposure — and closes with guidance on research-report</w:t>
      </w:r>
      <w:r>
        <w:t xml:space="preserve"> </w:t>
      </w:r>
      <w:r>
        <w:t xml:space="preserve">structure and the oral presentation.</w:t>
      </w:r>
    </w:p>
    <w:p>
      <w:pPr>
        <w:pStyle w:val="BodyText"/>
      </w:pPr>
      <w:r>
        <w:rPr>
          <w:b/>
          <w:bCs/>
        </w:rPr>
        <w:t xml:space="preserve">Recitation.</w:t>
      </w:r>
      <w:r>
        <w:t xml:space="preserve"> </w:t>
      </w:r>
      <w:r>
        <w:t xml:space="preserve">Final dry-run presentations to the cohort, with feedback</w:t>
      </w:r>
      <w:r>
        <w:t xml:space="preserve"> </w:t>
      </w:r>
      <w:r>
        <w:t xml:space="preserve">focused on the questions an industry audience would ask.</w:t>
      </w:r>
    </w:p>
    <w:p>
      <w:pPr>
        <w:pStyle w:val="BodyText"/>
      </w:pPr>
      <w:r>
        <w:rPr>
          <w:b/>
          <w:bCs/>
        </w:rPr>
        <w:t xml:space="preserve">Required Reading.</w:t>
      </w:r>
      <w:r>
        <w:t xml:space="preserve"> </w:t>
      </w:r>
      <w:r>
        <w:t xml:space="preserve">Guéant (2016), the chapter most relevant to the</w:t>
      </w:r>
      <w:r>
        <w:t xml:space="preserve"> </w:t>
      </w:r>
      <w:r>
        <w:t xml:space="preserve">chosen extension; El Aoud and Abergel (2015) (re-read with the extension</w:t>
      </w:r>
      <w:r>
        <w:t xml:space="preserve"> </w:t>
      </w:r>
      <w:r>
        <w:t xml:space="preserve">in mind); one additional paper relevant to the chosen extension; for the</w:t>
      </w:r>
      <w:r>
        <w:t xml:space="preserve"> </w:t>
      </w:r>
      <w:r>
        <w:t xml:space="preserve">guest session, a short structured-products primer distributed in advance.</w:t>
      </w:r>
    </w:p>
    <w:p>
      <w:pPr>
        <w:pStyle w:val="BodyText"/>
      </w:pPr>
      <w:r>
        <w:rPr>
          <w:b/>
          <w:bCs/>
        </w:rPr>
        <w:t xml:space="preserve">Problem Set 10 (Python/PyTorch).</w:t>
      </w:r>
      <w:r>
        <w:t xml:space="preserve"> </w:t>
      </w:r>
      <w:r>
        <w:t xml:space="preserve">A one-page extension proposal; a</w:t>
      </w:r>
      <w:r>
        <w:t xml:space="preserve"> </w:t>
      </w:r>
      <w:r>
        <w:t xml:space="preserve">PyTorch implementation of the chosen advanced Avellaneda–Stoikov extension</w:t>
      </w:r>
      <w:r>
        <w:t xml:space="preserve"> </w:t>
      </w:r>
      <w:r>
        <w:t xml:space="preserve">on top of the milestone infrastructure; a quantitative comparison against</w:t>
      </w:r>
      <w:r>
        <w:t xml:space="preserve"> </w:t>
      </w:r>
      <w:r>
        <w:t xml:space="preserve">the Week 9 baseline; the final report (≤ 30 pages); and the final</w:t>
      </w:r>
      <w:r>
        <w:t xml:space="preserve"> </w:t>
      </w:r>
      <w:r>
        <w:t xml:space="preserve">twenty-minute presentation. See the Problem Sets booklet.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comprehensive-reference-list"/>
    <w:p>
      <w:pPr>
        <w:pStyle w:val="Heading2"/>
      </w:pPr>
      <w:r>
        <w:t xml:space="preserve">4. Comprehensive Reference List</w:t>
      </w:r>
    </w:p>
    <w:bookmarkStart w:id="32" w:name="primary-references"/>
    <w:p>
      <w:pPr>
        <w:pStyle w:val="Heading3"/>
      </w:pPr>
      <w:r>
        <w:t xml:space="preserve">4.1 Primary References</w:t>
      </w:r>
    </w:p>
    <w:p>
      <w:pPr>
        <w:pStyle w:val="FirstParagraph"/>
      </w:pPr>
      <w:r>
        <w:t xml:space="preserve">Avellaneda, M., and Stoikov, S. (2008). High-frequency trading in a limit</w:t>
      </w:r>
      <w:r>
        <w:t xml:space="preserve"> </w:t>
      </w:r>
      <w:r>
        <w:t xml:space="preserve">order book.</w:t>
      </w:r>
      <w:r>
        <w:t xml:space="preserve"> </w:t>
      </w:r>
      <w:r>
        <w:rPr>
          <w:i/>
          <w:iCs/>
        </w:rPr>
        <w:t xml:space="preserve">Quantitative Finance</w:t>
      </w:r>
      <w:r>
        <w:t xml:space="preserve">, 8(3), 217–224.</w:t>
      </w:r>
    </w:p>
    <w:p>
      <w:pPr>
        <w:pStyle w:val="BodyText"/>
      </w:pPr>
      <w:r>
        <w:t xml:space="preserve">El Aoud, S., and Abergel, F. (2015). A stochastic control approach to</w:t>
      </w:r>
      <w:r>
        <w:t xml:space="preserve"> </w:t>
      </w:r>
      <w:r>
        <w:t xml:space="preserve">option market making.</w:t>
      </w:r>
      <w:r>
        <w:t xml:space="preserve"> </w:t>
      </w:r>
      <w:r>
        <w:rPr>
          <w:i/>
          <w:iCs/>
        </w:rPr>
        <w:t xml:space="preserve">Market Microstructure and Liquidity</w:t>
      </w:r>
      <w:r>
        <w:t xml:space="preserve">, 1(1),</w:t>
      </w:r>
      <w:r>
        <w:t xml:space="preserve"> </w:t>
      </w:r>
      <w:r>
        <w:t xml:space="preserve">1550006.</w:t>
      </w:r>
    </w:p>
    <w:p>
      <w:pPr>
        <w:pStyle w:val="BodyText"/>
      </w:pPr>
      <w:r>
        <w:t xml:space="preserve">Guéant, O. (2016).</w:t>
      </w:r>
      <w:r>
        <w:t xml:space="preserve"> </w:t>
      </w:r>
      <w:r>
        <w:rPr>
          <w:i/>
          <w:iCs/>
        </w:rPr>
        <w:t xml:space="preserve">The Financial Mathematics of Market Liquidity: From</w:t>
      </w:r>
      <w:r>
        <w:rPr>
          <w:i/>
          <w:iCs/>
        </w:rPr>
        <w:t xml:space="preserve"> </w:t>
      </w:r>
      <w:r>
        <w:rPr>
          <w:i/>
          <w:iCs/>
        </w:rPr>
        <w:t xml:space="preserve">Optimal Execution to Market Making</w:t>
      </w:r>
      <w:r>
        <w:t xml:space="preserve">. Chapman &amp; Hall / CRC.</w:t>
      </w:r>
    </w:p>
    <w:p>
      <w:pPr>
        <w:pStyle w:val="BodyText"/>
      </w:pPr>
      <w:r>
        <w:t xml:space="preserve">Cartea, Á., Jaikumar, S., and Penalva, J. (2015).</w:t>
      </w:r>
      <w:r>
        <w:t xml:space="preserve"> </w:t>
      </w:r>
      <w:r>
        <w:rPr>
          <w:i/>
          <w:iCs/>
        </w:rPr>
        <w:t xml:space="preserve">Algorithmic and</w:t>
      </w:r>
      <w:r>
        <w:rPr>
          <w:i/>
          <w:iCs/>
        </w:rPr>
        <w:t xml:space="preserve"> </w:t>
      </w:r>
      <w:r>
        <w:rPr>
          <w:i/>
          <w:iCs/>
        </w:rPr>
        <w:t xml:space="preserve">High-Frequency Trading</w:t>
      </w:r>
      <w:r>
        <w:t xml:space="preserve">. Cambridge University Press.</w:t>
      </w:r>
    </w:p>
    <w:bookmarkEnd w:id="32"/>
    <w:bookmarkStart w:id="33" w:name="volatility-surface-and-options-pricing"/>
    <w:p>
      <w:pPr>
        <w:pStyle w:val="Heading3"/>
      </w:pPr>
      <w:r>
        <w:t xml:space="preserve">4.2 Volatility Surface and Options Pricing</w:t>
      </w:r>
    </w:p>
    <w:p>
      <w:pPr>
        <w:pStyle w:val="FirstParagraph"/>
      </w:pPr>
      <w:r>
        <w:t xml:space="preserve">Gatheral, J. (2006).</w:t>
      </w:r>
      <w:r>
        <w:t xml:space="preserve"> </w:t>
      </w:r>
      <w:r>
        <w:rPr>
          <w:i/>
          <w:iCs/>
        </w:rPr>
        <w:t xml:space="preserve">The Volatility Surface: A Practitioner’s Guide</w:t>
      </w:r>
      <w:r>
        <w:t xml:space="preserve">.</w:t>
      </w:r>
      <w:r>
        <w:t xml:space="preserve"> </w:t>
      </w:r>
      <w:r>
        <w:t xml:space="preserve">Wiley Finance.</w:t>
      </w:r>
    </w:p>
    <w:p>
      <w:pPr>
        <w:pStyle w:val="BodyText"/>
      </w:pPr>
      <w:r>
        <w:t xml:space="preserve">Gatheral, J., and Jacquier, A. (2014). Arbitrage-free SVI volatility</w:t>
      </w:r>
      <w:r>
        <w:t xml:space="preserve"> </w:t>
      </w:r>
      <w:r>
        <w:t xml:space="preserve">surfaces.</w:t>
      </w:r>
      <w:r>
        <w:t xml:space="preserve"> </w:t>
      </w:r>
      <w:r>
        <w:rPr>
          <w:i/>
          <w:iCs/>
        </w:rPr>
        <w:t xml:space="preserve">Quantitative Finance</w:t>
      </w:r>
      <w:r>
        <w:t xml:space="preserve">, 14(1), 59–71.</w:t>
      </w:r>
    </w:p>
    <w:p>
      <w:pPr>
        <w:pStyle w:val="BodyText"/>
      </w:pPr>
      <w:r>
        <w:t xml:space="preserve">Hagan, P. S., Kumar, D., Lesniewski, A. S., and Woodward, D. E. (2002).</w:t>
      </w:r>
      <w:r>
        <w:t xml:space="preserve"> </w:t>
      </w:r>
      <w:r>
        <w:t xml:space="preserve">Managing smile risk.</w:t>
      </w:r>
      <w:r>
        <w:t xml:space="preserve"> </w:t>
      </w:r>
      <w:r>
        <w:rPr>
          <w:i/>
          <w:iCs/>
        </w:rPr>
        <w:t xml:space="preserve">Wilmott Magazine</w:t>
      </w:r>
      <w:r>
        <w:t xml:space="preserve">, September, 84–108.</w:t>
      </w:r>
    </w:p>
    <w:p>
      <w:pPr>
        <w:pStyle w:val="BodyText"/>
      </w:pPr>
      <w:r>
        <w:t xml:space="preserve">Jäckel, P. (2015). Let’s be rational.</w:t>
      </w:r>
      <w:r>
        <w:t xml:space="preserve"> </w:t>
      </w:r>
      <w:r>
        <w:rPr>
          <w:i/>
          <w:iCs/>
        </w:rPr>
        <w:t xml:space="preserve">Wilmott Magazine</w:t>
      </w:r>
      <w:r>
        <w:t xml:space="preserve">.</w:t>
      </w:r>
    </w:p>
    <w:p>
      <w:pPr>
        <w:pStyle w:val="BodyText"/>
      </w:pPr>
      <w:r>
        <w:t xml:space="preserve">Hull, J. C. (2021).</w:t>
      </w:r>
      <w:r>
        <w:t xml:space="preserve"> </w:t>
      </w:r>
      <w:r>
        <w:rPr>
          <w:i/>
          <w:iCs/>
        </w:rPr>
        <w:t xml:space="preserve">Options, Futures, and Other Derivatives</w:t>
      </w:r>
      <w:r>
        <w:t xml:space="preserve"> </w:t>
      </w:r>
      <w:r>
        <w:t xml:space="preserve">(11th ed.).</w:t>
      </w:r>
      <w:r>
        <w:t xml:space="preserve"> </w:t>
      </w:r>
      <w:r>
        <w:t xml:space="preserve">Pearson.</w:t>
      </w:r>
    </w:p>
    <w:p>
      <w:pPr>
        <w:pStyle w:val="BodyText"/>
      </w:pPr>
      <w:r>
        <w:t xml:space="preserve">Taleb, N. N. (1997).</w:t>
      </w:r>
      <w:r>
        <w:t xml:space="preserve"> </w:t>
      </w:r>
      <w:r>
        <w:rPr>
          <w:i/>
          <w:iCs/>
        </w:rPr>
        <w:t xml:space="preserve">Dynamic Hedging: Managing Vanilla and Exotic</w:t>
      </w:r>
      <w:r>
        <w:rPr>
          <w:i/>
          <w:iCs/>
        </w:rPr>
        <w:t xml:space="preserve"> </w:t>
      </w:r>
      <w:r>
        <w:rPr>
          <w:i/>
          <w:iCs/>
        </w:rPr>
        <w:t xml:space="preserve">Options</w:t>
      </w:r>
      <w:r>
        <w:t xml:space="preserve">. Wiley.</w:t>
      </w:r>
    </w:p>
    <w:bookmarkEnd w:id="33"/>
    <w:bookmarkStart w:id="34" w:name="fast-computation-methods"/>
    <w:p>
      <w:pPr>
        <w:pStyle w:val="Heading3"/>
      </w:pPr>
      <w:r>
        <w:t xml:space="preserve">4.3 Fast Computation Methods</w:t>
      </w:r>
    </w:p>
    <w:p>
      <w:pPr>
        <w:pStyle w:val="FirstParagraph"/>
      </w:pPr>
      <w:r>
        <w:t xml:space="preserve">Carr, P., and Madan, D. (1999). Option valuation using the fast Fourier</w:t>
      </w:r>
      <w:r>
        <w:t xml:space="preserve"> </w:t>
      </w:r>
      <w:r>
        <w:t xml:space="preserve">transform.</w:t>
      </w:r>
      <w:r>
        <w:t xml:space="preserve"> </w:t>
      </w:r>
      <w:r>
        <w:rPr>
          <w:i/>
          <w:iCs/>
        </w:rPr>
        <w:t xml:space="preserve">Journal of Computational Finance</w:t>
      </w:r>
      <w:r>
        <w:t xml:space="preserve">, 2(4), 61–73.</w:t>
      </w:r>
    </w:p>
    <w:p>
      <w:pPr>
        <w:pStyle w:val="BodyText"/>
      </w:pPr>
      <w:r>
        <w:t xml:space="preserve">Fang, F., and Oosterlee, C. W. (2008). A novel pricing method for European</w:t>
      </w:r>
      <w:r>
        <w:t xml:space="preserve"> </w:t>
      </w:r>
      <w:r>
        <w:t xml:space="preserve">options based on Fourier-cosine series expansions.</w:t>
      </w:r>
      <w:r>
        <w:t xml:space="preserve"> </w:t>
      </w:r>
      <w:r>
        <w:rPr>
          <w:i/>
          <w:iCs/>
        </w:rPr>
        <w:t xml:space="preserve">SIAM Journal on</w:t>
      </w:r>
      <w:r>
        <w:rPr>
          <w:i/>
          <w:iCs/>
        </w:rPr>
        <w:t xml:space="preserve"> </w:t>
      </w:r>
      <w:r>
        <w:rPr>
          <w:i/>
          <w:iCs/>
        </w:rPr>
        <w:t xml:space="preserve">Scientific Computing</w:t>
      </w:r>
      <w:r>
        <w:t xml:space="preserve">, 31(2), 826–848.</w:t>
      </w:r>
    </w:p>
    <w:p>
      <w:pPr>
        <w:pStyle w:val="BodyText"/>
      </w:pPr>
      <w:r>
        <w:t xml:space="preserve">Glasserman, P. (2003).</w:t>
      </w:r>
      <w:r>
        <w:t xml:space="preserve"> </w:t>
      </w:r>
      <w:r>
        <w:rPr>
          <w:i/>
          <w:iCs/>
        </w:rPr>
        <w:t xml:space="preserve">Monte Carlo Methods in Financial Engineering</w:t>
      </w:r>
      <w:r>
        <w:t xml:space="preserve">.</w:t>
      </w:r>
      <w:r>
        <w:t xml:space="preserve"> </w:t>
      </w:r>
      <w:r>
        <w:t xml:space="preserve">Springer.</w:t>
      </w:r>
    </w:p>
    <w:bookmarkEnd w:id="34"/>
    <w:bookmarkStart w:id="35" w:name="stochastic-optimal-control"/>
    <w:p>
      <w:pPr>
        <w:pStyle w:val="Heading3"/>
      </w:pPr>
      <w:r>
        <w:t xml:space="preserve">4.4 Stochastic Optimal Control</w:t>
      </w:r>
    </w:p>
    <w:p>
      <w:pPr>
        <w:pStyle w:val="FirstParagraph"/>
      </w:pPr>
      <w:r>
        <w:t xml:space="preserve">Pham, H. (2009).</w:t>
      </w:r>
      <w:r>
        <w:t xml:space="preserve"> </w:t>
      </w:r>
      <w:r>
        <w:rPr>
          <w:i/>
          <w:iCs/>
        </w:rPr>
        <w:t xml:space="preserve">Continuous-time Stochastic Control and Optimization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Applications</w:t>
      </w:r>
      <w:r>
        <w:t xml:space="preserve">. Springer.</w:t>
      </w:r>
    </w:p>
    <w:p>
      <w:pPr>
        <w:pStyle w:val="BodyText"/>
      </w:pPr>
      <w:r>
        <w:t xml:space="preserve">Fleming, W. H., and Soner, H. M. (2006).</w:t>
      </w:r>
      <w:r>
        <w:t xml:space="preserve"> </w:t>
      </w:r>
      <w:r>
        <w:rPr>
          <w:i/>
          <w:iCs/>
        </w:rPr>
        <w:t xml:space="preserve">Controlled Markov Processes and</w:t>
      </w:r>
      <w:r>
        <w:rPr>
          <w:i/>
          <w:iCs/>
        </w:rPr>
        <w:t xml:space="preserve"> </w:t>
      </w:r>
      <w:r>
        <w:rPr>
          <w:i/>
          <w:iCs/>
        </w:rPr>
        <w:t xml:space="preserve">Viscosity Solutions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Øksendal, B. (2003).</w:t>
      </w:r>
      <w:r>
        <w:t xml:space="preserve"> </w:t>
      </w:r>
      <w:r>
        <w:rPr>
          <w:i/>
          <w:iCs/>
        </w:rPr>
        <w:t xml:space="preserve">Stochastic Differential Equations</w:t>
      </w:r>
      <w:r>
        <w:t xml:space="preserve"> </w:t>
      </w:r>
      <w:r>
        <w:t xml:space="preserve">(6th ed.).</w:t>
      </w:r>
      <w:r>
        <w:t xml:space="preserve"> </w:t>
      </w:r>
      <w:r>
        <w:t xml:space="preserve">Springer.</w:t>
      </w:r>
    </w:p>
    <w:bookmarkEnd w:id="35"/>
    <w:bookmarkStart w:id="36" w:name="market-microstructure"/>
    <w:p>
      <w:pPr>
        <w:pStyle w:val="Heading3"/>
      </w:pPr>
      <w:r>
        <w:t xml:space="preserve">4.5 Market Microstructure</w:t>
      </w:r>
    </w:p>
    <w:p>
      <w:pPr>
        <w:pStyle w:val="FirstParagraph"/>
      </w:pPr>
      <w:r>
        <w:t xml:space="preserve">Roll, R. (1984). A simple implicit measure of the effective bid-ask</w:t>
      </w:r>
      <w:r>
        <w:t xml:space="preserve"> </w:t>
      </w:r>
      <w:r>
        <w:t xml:space="preserve">spread.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, 39(4), 1127–1139.</w:t>
      </w:r>
    </w:p>
    <w:p>
      <w:pPr>
        <w:pStyle w:val="BodyText"/>
      </w:pPr>
      <w:r>
        <w:t xml:space="preserve">Glosten, L. R., and Milgrom, P. R. (1985). Bid, ask and transaction prices</w:t>
      </w:r>
      <w:r>
        <w:t xml:space="preserve"> </w:t>
      </w:r>
      <w:r>
        <w:t xml:space="preserve">in a specialist market with heterogeneously informed traders.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Economics</w:t>
      </w:r>
      <w:r>
        <w:t xml:space="preserve">, 14(1), 71–100.</w:t>
      </w:r>
    </w:p>
    <w:p>
      <w:pPr>
        <w:pStyle w:val="BodyText"/>
      </w:pPr>
      <w:r>
        <w:t xml:space="preserve">Kyle, A. S. (1985). Continuous auctions and insider trading.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53(6), 1315–1335.</w:t>
      </w:r>
    </w:p>
    <w:bookmarkEnd w:id="36"/>
    <w:bookmarkStart w:id="37" w:name="software-and-tooling"/>
    <w:p>
      <w:pPr>
        <w:pStyle w:val="Heading3"/>
      </w:pPr>
      <w:r>
        <w:t xml:space="preserve">4.6 Software and Tooling</w:t>
      </w:r>
    </w:p>
    <w:p>
      <w:pPr>
        <w:pStyle w:val="FirstParagraph"/>
      </w:pPr>
      <w:r>
        <w:t xml:space="preserve">Jakob, W., Rhinelander, J., and Moldovan, D. (2017).</w:t>
      </w:r>
      <w:r>
        <w:t xml:space="preserve"> </w:t>
      </w:r>
      <w:r>
        <w:rPr>
          <w:i/>
          <w:iCs/>
        </w:rPr>
        <w:t xml:space="preserve">pybind11 — Seamless</w:t>
      </w:r>
      <w:r>
        <w:rPr>
          <w:i/>
          <w:iCs/>
        </w:rPr>
        <w:t xml:space="preserve"> </w:t>
      </w:r>
      <w:r>
        <w:rPr>
          <w:i/>
          <w:iCs/>
        </w:rPr>
        <w:t xml:space="preserve">operability between C++11 and Python</w:t>
      </w:r>
      <w:r>
        <w:t xml:space="preserve">. https://github.com/pybind/pybind11</w:t>
      </w:r>
    </w:p>
    <w:p>
      <w:pPr>
        <w:pStyle w:val="BodyText"/>
      </w:pPr>
      <w:r>
        <w:t xml:space="preserve">Paszke, A., et al. (2019). PyTorch: an imperative style, high-performance</w:t>
      </w:r>
      <w:r>
        <w:t xml:space="preserve"> </w:t>
      </w:r>
      <w:r>
        <w:t xml:space="preserve">deep learning library.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bookmarkEnd w:id="37"/>
    <w:bookmarkStart w:id="38" w:name="supplementary"/>
    <w:p>
      <w:pPr>
        <w:pStyle w:val="Heading3"/>
      </w:pPr>
      <w:r>
        <w:t xml:space="preserve">4.7 Supplementary</w:t>
      </w:r>
    </w:p>
    <w:p>
      <w:pPr>
        <w:pStyle w:val="FirstParagraph"/>
      </w:pPr>
      <w:r>
        <w:t xml:space="preserve">Bailey, D. H., and López de Prado, M. (2014). The deflated Sharpe ratio.</w:t>
      </w:r>
      <w:r>
        <w:t xml:space="preserve"> </w:t>
      </w:r>
      <w:r>
        <w:rPr>
          <w:i/>
          <w:iCs/>
        </w:rPr>
        <w:t xml:space="preserve">Journal of Portfolio Management</w:t>
      </w:r>
      <w:r>
        <w:t xml:space="preserve">, 40(5), 94–107.</w:t>
      </w:r>
    </w:p>
    <w:p>
      <w:pPr>
        <w:pStyle w:val="BodyText"/>
      </w:pPr>
      <w:r>
        <w:t xml:space="preserve">López de Prado, M. (2018).</w:t>
      </w:r>
      <w:r>
        <w:t xml:space="preserve"> </w:t>
      </w:r>
      <w:r>
        <w:rPr>
          <w:i/>
          <w:iCs/>
        </w:rPr>
        <w:t xml:space="preserve">Advances in Financial Machine Learning</w:t>
      </w:r>
      <w:r>
        <w:t xml:space="preserve">.</w:t>
      </w:r>
      <w:r>
        <w:t xml:space="preserve"> </w:t>
      </w:r>
      <w:r>
        <w:t xml:space="preserve">Wiley.</w:t>
      </w:r>
    </w:p>
    <w:p>
      <w:pPr>
        <w:pStyle w:val="BodyText"/>
      </w:pPr>
      <w:r>
        <w:t xml:space="preserve">Almgren, R., and Chriss, N. (2001). Optimal execution of portfolio</w:t>
      </w:r>
      <w:r>
        <w:t xml:space="preserve"> </w:t>
      </w:r>
      <w:r>
        <w:t xml:space="preserve">transactions.</w:t>
      </w:r>
      <w:r>
        <w:t xml:space="preserve"> </w:t>
      </w:r>
      <w:r>
        <w:rPr>
          <w:i/>
          <w:iCs/>
        </w:rPr>
        <w:t xml:space="preserve">Journal of Risk</w:t>
      </w:r>
      <w:r>
        <w:t xml:space="preserve">, 3(2), 5–40.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a.-coincall-dataset-catalog"/>
    <w:p>
      <w:pPr>
        <w:pStyle w:val="Heading2"/>
      </w:pPr>
      <w:r>
        <w:t xml:space="preserve">Appendix A. Coincall Dataset Catalog</w:t>
      </w:r>
    </w:p>
    <w:p>
      <w:pPr>
        <w:pStyle w:val="FirstParagraph"/>
      </w:pPr>
      <w:r>
        <w:t xml:space="preserve">All datasets are delivered as Parquet files on a secure object store under</w:t>
      </w:r>
      <w:r>
        <w:t xml:space="preserve"> </w:t>
      </w:r>
      <w:r>
        <w:t xml:space="preserve">a non-disclosure agreement. The naming convention is</w:t>
      </w:r>
      <w:r>
        <w:t xml:space="preserve"> </w:t>
      </w:r>
      <w:r>
        <w:rPr>
          <w:rStyle w:val="VerbatimChar"/>
        </w:rPr>
        <w:t xml:space="preserve">coincall_{instrument}_{data_type}_{period}.parquet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Order book data</w:t>
      </w:r>
      <w:r>
        <w:t xml:space="preserve"> </w:t>
      </w:r>
      <w:r>
        <w:t xml:space="preserve">— L2 snapshots (top ten levels per side), at 1-second</w:t>
      </w:r>
      <w:r>
        <w:t xml:space="preserve"> </w:t>
      </w:r>
      <w:r>
        <w:t xml:space="preserve">resolution for options and 100 ms for perpetual futures, each row</w:t>
      </w:r>
      <w:r>
        <w:t xml:space="preserve"> </w:t>
      </w:r>
      <w:r>
        <w:t xml:space="preserve">carrying bid/ask prices and sizes per level, a strictly increasing</w:t>
      </w:r>
      <w:r>
        <w:t xml:space="preserve"> </w:t>
      </w:r>
      <w:r>
        <w:t xml:space="preserve">sequence number, and an exchange timestamp. L2 is sufficient for both</w:t>
      </w:r>
      <w:r>
        <w:t xml:space="preserve"> </w:t>
      </w:r>
      <w:r>
        <w:t xml:space="preserve">intensity calibration and the simulation environment.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Trade data</w:t>
      </w:r>
      <w:r>
        <w:t xml:space="preserve"> </w:t>
      </w:r>
      <w:r>
        <w:t xml:space="preserve">— the full trade tape (contract id, price, size, aggressor</w:t>
      </w:r>
      <w:r>
        <w:t xml:space="preserve"> </w:t>
      </w:r>
      <w:r>
        <w:t xml:space="preserve">side, trade id); options trades additionally carry the mark implied</w:t>
      </w:r>
      <w:r>
        <w:t xml:space="preserve"> </w:t>
      </w:r>
      <w:r>
        <w:t xml:space="preserve">volatility at trade time, used for surface calibration in Week 6 and the</w:t>
      </w:r>
      <w:r>
        <w:t xml:space="preserve"> </w:t>
      </w:r>
      <w:r>
        <w:t xml:space="preserve">fill simulator in Week 9.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Surface data</w:t>
      </w:r>
      <w:r>
        <w:t xml:space="preserve"> </w:t>
      </w:r>
      <w:r>
        <w:t xml:space="preserve">— calibrated SVI parameters at five-minute frequency,</w:t>
      </w:r>
      <w:r>
        <w:t xml:space="preserve"> </w:t>
      </w:r>
      <w:r>
        <w:t xml:space="preserve">used as a baseline for the fast revaluation pipeline in Week 7.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Auxiliary data</w:t>
      </w:r>
      <w:r>
        <w:t xml:space="preserve"> </w:t>
      </w:r>
      <w:r>
        <w:t xml:space="preserve">— hourly perpetual-futures funding rates (for hedging</w:t>
      </w:r>
      <w:r>
        <w:t xml:space="preserve"> </w:t>
      </w:r>
      <w:r>
        <w:t xml:space="preserve">cost accounting in Week 9) and a static snapshot of contract</w:t>
      </w:r>
      <w:r>
        <w:t xml:space="preserve"> </w:t>
      </w:r>
      <w:r>
        <w:t xml:space="preserve">specifications.</w:t>
      </w:r>
    </w:p>
    <w:p>
      <w:pPr>
        <w:pStyle w:val="FirstParagraph"/>
      </w:pPr>
      <w:r>
        <w:t xml:space="preserve">Students receive credentials to a secure S3-compatible endpoint at the</w:t>
      </w:r>
      <w:r>
        <w:t xml:space="preserve"> </w:t>
      </w:r>
      <w:r>
        <w:t xml:space="preserve">start of the program. Data may be downloaded locally for analysis but may</w:t>
      </w:r>
      <w:r>
        <w:t xml:space="preserve"> </w:t>
      </w:r>
      <w:r>
        <w:t xml:space="preserve">not be redistributed. Coincall retains the right to update the dataset</w:t>
      </w:r>
      <w:r>
        <w:t xml:space="preserve"> </w:t>
      </w:r>
      <w:r>
        <w:t xml:space="preserve">catalog during the program with at least one week of notice.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 Market Making for Cryptocurrency Options</dc:title>
  <dc:creator>North Carolina State University · Financial Mathematics</dc:creator>
  <cp:keywords/>
  <dcterms:created xsi:type="dcterms:W3CDTF">2026-06-10T08:42:56Z</dcterms:created>
  <dcterms:modified xsi:type="dcterms:W3CDTF">2026-06-10T08:42:56Z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Summer 2026</vt:lpwstr>
  </property>
  <property fmtid="{D5CDD505-2E9C-101B-9397-08002B2CF9AE}" pid="3" name="subtitle">
    <vt:lpwstr>The Avellaneda–Stoikov Framework and its Extension to Options</vt:lpwstr>
  </property>
</Properties>
</file>