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10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Cs/>
          <w:sz w:val="28"/>
          <w:szCs w:val="28"/>
          <w:rtl w:val="true"/>
          <w:lang w:val="en-GB"/>
        </w:rPr>
        <w:br/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התקשרות עם אתר מורשה לפינוי פסולת 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Fonts w:eastAsia="Tahoma"/>
          <w:rtl w:val="true"/>
        </w:rPr>
        <w:t xml:space="preserve">         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eastAsia="Calibri" w:cs="Tahoma"/>
          <w:sz w:val="18"/>
          <w:szCs w:val="18"/>
          <w:rtl w:val="true"/>
        </w:rPr>
        <w:t xml:space="preserve">         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{{ownerType=corp|☐}}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הצהרה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  <w:lang w:val="en-GB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ר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אחראי ביקורת על הביצוע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Tahoma"/>
          <w:szCs w:val="20"/>
          <w:rtl w:val="true"/>
          <w:lang w:val="en-GB"/>
        </w:rPr>
        <w:t xml:space="preserve"> בזאת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1"/>
        </w:numPr>
        <w:ind w:hanging="270" w:start="270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נחתם הסכם ההתקשרות עם אתר מורשה על פי כל דין לסילוק פסולת בניין או לטיפול בה ובהתאם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לרשימה העדכנית של</w:t>
      </w:r>
      <w:r>
        <w:rPr>
          <w:rFonts w:cs="Tahoma"/>
          <w:szCs w:val="20"/>
          <w:rtl w:val="true"/>
        </w:rPr>
        <w:t xml:space="preserve"> האתרים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המאושרים על ידי המשרד להגנת הסביבה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ind w:hanging="270" w:start="270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פסולת הבנייה תפונה אל 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 xml:space="preserve">אתר 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>מורשה לסילוק פסולת בניין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 לטיפול בה במהלך העבודה או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מיד לאחר השלמתה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זולת אם הכמות היא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מזערית </w:t>
      </w:r>
      <w:r>
        <w:rPr>
          <w:rFonts w:cs="Tahoma"/>
          <w:szCs w:val="20"/>
          <w:rtl w:val="true"/>
        </w:rPr>
        <w:t>ו</w:t>
      </w:r>
      <w:r>
        <w:rPr>
          <w:rFonts w:cs="Tahoma"/>
          <w:color w:val="000000"/>
          <w:szCs w:val="20"/>
          <w:rtl w:val="true"/>
        </w:rPr>
        <w:t xml:space="preserve">בהתאם </w:t>
      </w:r>
      <w:r>
        <w:rPr>
          <w:rFonts w:cs="Tahoma"/>
          <w:color w:val="000000"/>
          <w:szCs w:val="20"/>
          <w:rtl w:val="true"/>
        </w:rPr>
        <w:t>ל</w:t>
      </w:r>
      <w:r>
        <w:rPr>
          <w:rFonts w:cs="Tahoma"/>
          <w:color w:val="000000"/>
          <w:szCs w:val="20"/>
          <w:rtl w:val="true"/>
        </w:rPr>
        <w:t>תקנ</w:t>
      </w:r>
      <w:r>
        <w:rPr>
          <w:rFonts w:cs="Tahoma"/>
          <w:color w:val="000000"/>
          <w:szCs w:val="20"/>
          <w:rtl w:val="true"/>
        </w:rPr>
        <w:t xml:space="preserve">ה </w:t>
      </w:r>
      <w:r>
        <w:rPr>
          <w:rFonts w:cs="Tahoma"/>
          <w:color w:val="000000"/>
          <w:szCs w:val="20"/>
        </w:rPr>
        <w:t>56</w:t>
      </w:r>
      <w:r>
        <w:rPr>
          <w:rFonts w:cs="Tahoma"/>
          <w:color w:val="000000"/>
          <w:szCs w:val="20"/>
          <w:rtl w:val="true"/>
        </w:rPr>
        <w:t xml:space="preserve"> (</w:t>
      </w:r>
      <w:r>
        <w:rPr>
          <w:rFonts w:cs="Tahoma"/>
          <w:color w:val="000000"/>
          <w:szCs w:val="20"/>
          <w:rtl w:val="true"/>
        </w:rPr>
        <w:t>א</w:t>
      </w:r>
      <w:r>
        <w:rPr>
          <w:rFonts w:cs="Tahoma"/>
          <w:color w:val="000000"/>
          <w:szCs w:val="20"/>
          <w:rtl w:val="true"/>
        </w:rPr>
        <w:t>) (</w:t>
      </w:r>
      <w:r>
        <w:rPr>
          <w:rFonts w:cs="Tahoma"/>
          <w:color w:val="000000"/>
          <w:szCs w:val="20"/>
        </w:rPr>
        <w:t>2</w:t>
      </w:r>
      <w:r>
        <w:rPr>
          <w:rFonts w:cs="Tahoma"/>
          <w:color w:val="000000"/>
          <w:szCs w:val="20"/>
          <w:rtl w:val="true"/>
        </w:rPr>
        <w:t>)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לתקנות התכנון והבנייה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(</w:t>
      </w:r>
      <w:r>
        <w:rPr>
          <w:rFonts w:cs="Tahoma"/>
          <w:color w:val="000000"/>
          <w:szCs w:val="20"/>
          <w:rtl w:val="true"/>
        </w:rPr>
        <w:t>רישוי בנייה</w:t>
      </w:r>
      <w:r>
        <w:rPr>
          <w:rFonts w:cs="Tahoma"/>
          <w:color w:val="000000"/>
          <w:szCs w:val="20"/>
          <w:rtl w:val="true"/>
        </w:rPr>
        <w:t xml:space="preserve">) </w:t>
      </w:r>
      <w:r>
        <w:rPr>
          <w:rFonts w:cs="Tahoma"/>
          <w:color w:val="000000"/>
          <w:szCs w:val="20"/>
          <w:rtl w:val="true"/>
        </w:rPr>
        <w:t>התשע</w:t>
      </w:r>
      <w:r>
        <w:rPr>
          <w:rFonts w:cs="Tahoma"/>
          <w:color w:val="000000"/>
          <w:szCs w:val="20"/>
          <w:rtl w:val="true"/>
        </w:rPr>
        <w:t>"</w:t>
      </w:r>
      <w:r>
        <w:rPr>
          <w:rFonts w:cs="Tahoma"/>
          <w:color w:val="000000"/>
          <w:szCs w:val="20"/>
          <w:rtl w:val="true"/>
        </w:rPr>
        <w:t>ו</w:t>
      </w:r>
      <w:r>
        <w:rPr>
          <w:rFonts w:cs="Tahoma"/>
          <w:color w:val="000000"/>
          <w:szCs w:val="20"/>
          <w:rtl w:val="true"/>
        </w:rPr>
        <w:t>-</w:t>
      </w:r>
      <w:r>
        <w:rPr>
          <w:rFonts w:cs="Tahoma"/>
          <w:color w:val="000000"/>
          <w:szCs w:val="20"/>
        </w:rPr>
        <w:t>2016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ind w:hanging="270" w:start="270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חישוב נפח פסולת הבנייה ועודפי העפר </w:t>
      </w:r>
      <w:r>
        <w:rPr>
          <w:rFonts w:cs="Tahoma"/>
          <w:szCs w:val="20"/>
          <w:rtl w:val="true"/>
        </w:rPr>
        <w:t>נערך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בהתאם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לנוהל לאכיפת פינוי מוסדר של פסולת בניין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המשרד להגנת הסביבה</w:t>
      </w:r>
      <w:r>
        <w:rPr>
          <w:rFonts w:cs="Tahoma"/>
          <w:szCs w:val="20"/>
          <w:rtl w:val="true"/>
        </w:rPr>
        <w:t>).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before="12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מסמכים מצורפים</w:t>
      </w:r>
      <w:r>
        <w:rPr>
          <w:rFonts w:cs="Tahoma"/>
          <w:b/>
          <w:bCs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0" w:after="0"/>
        <w:ind w:hanging="360" w:start="360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אישור התקשרות </w:t>
      </w:r>
      <w:r>
        <w:rPr>
          <w:rFonts w:cs="Tahoma"/>
          <w:szCs w:val="20"/>
          <w:rtl w:val="true"/>
          <w:lang w:val="en-GB"/>
        </w:rPr>
        <w:t>אתר מורשה לפינוי פסולת בניין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0" w:after="0"/>
        <w:ind w:hanging="360" w:start="360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טופס הצהרה על כמות פסולת בנייה ועודפי עפר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נספח 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lang w:val="en-GB"/>
        </w:rPr>
        <w:t>1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נוהל לאכיפת פינוי מוסדר של פסולת בנייה</w:t>
      </w:r>
      <w:r>
        <w:rPr>
          <w:rFonts w:cs="Tahoma"/>
          <w:szCs w:val="20"/>
          <w:rtl w:val="true"/>
          <w:lang w:val="en-GB"/>
        </w:rPr>
        <w:t>)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 </w:t>
      </w:r>
    </w:p>
    <w:p>
      <w:pPr>
        <w:pStyle w:val="Normal"/>
        <w:spacing w:lineRule="auto" w:line="240" w:before="60" w:after="60"/>
        <w:ind w:firstLine="6034" w:end="0"/>
        <w:jc w:val="start"/>
        <w:rPr>
          <w:rFonts w:cs="Tahoma"/>
          <w:b/>
          <w:bCs/>
          <w:szCs w:val="20"/>
          <w:lang w:val="en-GB"/>
        </w:rPr>
      </w:pPr>
      <w:r>
        <w:rPr>
          <w:rFonts w:cs="Tahoma"/>
          <w:b/>
          <w:b/>
          <w:bCs/>
          <w:szCs w:val="20"/>
          <w:rtl w:val="true"/>
          <w:lang w:val="en-GB"/>
        </w:rPr>
        <w:t>האחראי לביקורת על הביצוע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