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10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אחראי לביקורת על הביצוע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Cs/>
          <w:sz w:val="28"/>
          <w:szCs w:val="28"/>
          <w:rtl w:val="true"/>
          <w:lang w:val="en-GB"/>
        </w:rPr>
        <w:br/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התקשרות עם אתר מורשה לפינוי פסולת בניין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Style w:val="Style20"/>
          <w:rFonts w:eastAsia="Tahoma"/>
          <w:rtl w:val="true"/>
        </w:rPr>
        <w:t xml:space="preserve">         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eastAsia="Calibri" w:cs="Tahoma"/>
          <w:sz w:val="18"/>
          <w:szCs w:val="18"/>
          <w:rtl w:val="true"/>
        </w:rPr>
        <w:t xml:space="preserve">          </w:t>
      </w:r>
      <w:r>
        <w:rPr>
          <w:rFonts w:eastAsia="Calibri" w:cs="Tahoma"/>
          <w:sz w:val="18"/>
          <w:sz w:val="18"/>
          <w:szCs w:val="18"/>
          <w:rtl w:val="true"/>
        </w:rPr>
        <w:t>שם מכון הבקרה</w:t>
      </w:r>
      <w:r>
        <w:rPr>
          <w:rFonts w:eastAsia="Calibri" w:cs="Tahoma"/>
          <w:sz w:val="18"/>
          <w:szCs w:val="18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תאגיד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הצהרה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  <w:color w:val="0070C0"/>
        </w:rPr>
        <w:t xml:space="preserve">{{supervisor.name|שם האחראי לביקורת על הביצוע}}</w:t>
      </w:r>
      <w:r>
        <w:rPr>
          <w:rFonts w:cs="Tahoma"/>
          <w:color w:val="0070C0"/>
          <w:szCs w:val="20"/>
          <w:rtl w:val="true"/>
          <w:lang w:val="en-GB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ר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אחראי ביקורת על הביצוע בבנייה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Tahoma"/>
          <w:szCs w:val="20"/>
          <w:rtl w:val="true"/>
          <w:lang w:val="en-GB"/>
        </w:rPr>
        <w:t xml:space="preserve"> בזאת</w:t>
      </w:r>
      <w:r>
        <w:rPr>
          <w:rFonts w:cs="Tahoma"/>
          <w:szCs w:val="20"/>
          <w:rtl w:val="true"/>
        </w:rPr>
        <w:t>:</w:t>
      </w:r>
    </w:p>
    <w:p>
      <w:pPr>
        <w:pStyle w:val="Style16"/>
        <w:numPr>
          <w:ilvl w:val="0"/>
          <w:numId w:val="1"/>
        </w:numPr>
        <w:ind w:hanging="270" w:start="270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נחתם הסכם ההתקשרות עם אתר מורשה על פי כל דין לסילוק פסולת בניין או לטיפול בה ובהתאם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לרשימה העדכנית של</w:t>
      </w:r>
      <w:r>
        <w:rPr>
          <w:rFonts w:cs="Tahoma"/>
          <w:szCs w:val="20"/>
          <w:rtl w:val="true"/>
        </w:rPr>
        <w:t xml:space="preserve"> האתרים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המאושרים על ידי המשרד להגנת הסביבה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ind w:hanging="270" w:start="270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פסולת הבנייה תפונה אל </w:t>
      </w:r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</w:rPr>
        <w:t xml:space="preserve">אתר </w:t>
      </w:r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</w:rPr>
        <w:t>מורשה לסילוק פסולת בניין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או לטיפול בה במהלך העבודה או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מיד לאחר השלמתה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זולת אם הכמות היא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מזערית </w:t>
      </w:r>
      <w:r>
        <w:rPr>
          <w:rFonts w:cs="Tahoma"/>
          <w:szCs w:val="20"/>
          <w:rtl w:val="true"/>
        </w:rPr>
        <w:t>ו</w:t>
      </w:r>
      <w:r>
        <w:rPr>
          <w:rFonts w:cs="Tahoma"/>
          <w:color w:val="000000"/>
          <w:szCs w:val="20"/>
          <w:rtl w:val="true"/>
        </w:rPr>
        <w:t xml:space="preserve">בהתאם </w:t>
      </w:r>
      <w:r>
        <w:rPr>
          <w:rFonts w:cs="Tahoma"/>
          <w:color w:val="000000"/>
          <w:szCs w:val="20"/>
          <w:rtl w:val="true"/>
        </w:rPr>
        <w:t>ל</w:t>
      </w:r>
      <w:r>
        <w:rPr>
          <w:rFonts w:cs="Tahoma"/>
          <w:color w:val="000000"/>
          <w:szCs w:val="20"/>
          <w:rtl w:val="true"/>
        </w:rPr>
        <w:t>תקנ</w:t>
      </w:r>
      <w:r>
        <w:rPr>
          <w:rFonts w:cs="Tahoma"/>
          <w:color w:val="000000"/>
          <w:szCs w:val="20"/>
          <w:rtl w:val="true"/>
        </w:rPr>
        <w:t xml:space="preserve">ה </w:t>
      </w:r>
      <w:r>
        <w:rPr>
          <w:rFonts w:cs="Tahoma"/>
          <w:color w:val="000000"/>
          <w:szCs w:val="20"/>
        </w:rPr>
        <w:t>56</w:t>
      </w:r>
      <w:r>
        <w:rPr>
          <w:rFonts w:cs="Tahoma"/>
          <w:color w:val="000000"/>
          <w:szCs w:val="20"/>
          <w:rtl w:val="true"/>
        </w:rPr>
        <w:t xml:space="preserve"> (</w:t>
      </w:r>
      <w:r>
        <w:rPr>
          <w:rFonts w:cs="Tahoma"/>
          <w:color w:val="000000"/>
          <w:szCs w:val="20"/>
          <w:rtl w:val="true"/>
        </w:rPr>
        <w:t>א</w:t>
      </w:r>
      <w:r>
        <w:rPr>
          <w:rFonts w:cs="Tahoma"/>
          <w:color w:val="000000"/>
          <w:szCs w:val="20"/>
          <w:rtl w:val="true"/>
        </w:rPr>
        <w:t>) (</w:t>
      </w:r>
      <w:r>
        <w:rPr>
          <w:rFonts w:cs="Tahoma"/>
          <w:color w:val="000000"/>
          <w:szCs w:val="20"/>
        </w:rPr>
        <w:t>2</w:t>
      </w:r>
      <w:r>
        <w:rPr>
          <w:rFonts w:cs="Tahoma"/>
          <w:color w:val="000000"/>
          <w:szCs w:val="20"/>
          <w:rtl w:val="true"/>
        </w:rPr>
        <w:t>)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לתקנות התכנון והבנייה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(</w:t>
      </w:r>
      <w:r>
        <w:rPr>
          <w:rFonts w:cs="Tahoma"/>
          <w:color w:val="000000"/>
          <w:szCs w:val="20"/>
          <w:rtl w:val="true"/>
        </w:rPr>
        <w:t>רישוי בנייה</w:t>
      </w:r>
      <w:r>
        <w:rPr>
          <w:rFonts w:cs="Tahoma"/>
          <w:color w:val="000000"/>
          <w:szCs w:val="20"/>
          <w:rtl w:val="true"/>
        </w:rPr>
        <w:t xml:space="preserve">) </w:t>
      </w:r>
      <w:r>
        <w:rPr>
          <w:rFonts w:cs="Tahoma"/>
          <w:color w:val="000000"/>
          <w:szCs w:val="20"/>
          <w:rtl w:val="true"/>
        </w:rPr>
        <w:t>התשע</w:t>
      </w:r>
      <w:r>
        <w:rPr>
          <w:rFonts w:cs="Tahoma"/>
          <w:color w:val="000000"/>
          <w:szCs w:val="20"/>
          <w:rtl w:val="true"/>
        </w:rPr>
        <w:t>"</w:t>
      </w:r>
      <w:r>
        <w:rPr>
          <w:rFonts w:cs="Tahoma"/>
          <w:color w:val="000000"/>
          <w:szCs w:val="20"/>
          <w:rtl w:val="true"/>
        </w:rPr>
        <w:t>ו</w:t>
      </w:r>
      <w:r>
        <w:rPr>
          <w:rFonts w:cs="Tahoma"/>
          <w:color w:val="000000"/>
          <w:szCs w:val="20"/>
          <w:rtl w:val="true"/>
        </w:rPr>
        <w:t>-</w:t>
      </w:r>
      <w:r>
        <w:rPr>
          <w:rFonts w:cs="Tahoma"/>
          <w:color w:val="000000"/>
          <w:szCs w:val="20"/>
        </w:rPr>
        <w:t>2016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ind w:hanging="270" w:start="270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חישוב נפח פסולת הבנייה ועודפי העפר </w:t>
      </w:r>
      <w:r>
        <w:rPr>
          <w:rFonts w:cs="Tahoma"/>
          <w:szCs w:val="20"/>
          <w:rtl w:val="true"/>
        </w:rPr>
        <w:t>נערך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בהתאם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לנוהל לאכיפת פינוי מוסדר של פסולת בניין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המשרד להגנת הסביבה</w:t>
      </w:r>
      <w:r>
        <w:rPr>
          <w:rFonts w:cs="Tahoma"/>
          <w:szCs w:val="20"/>
          <w:rtl w:val="true"/>
        </w:rPr>
        <w:t>).</w:t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pacing w:before="12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מסמכים מצורפים</w:t>
      </w:r>
      <w:r>
        <w:rPr>
          <w:rFonts w:cs="Tahoma"/>
          <w:b/>
          <w:bCs/>
          <w:szCs w:val="20"/>
          <w:u w:val="single"/>
          <w:rtl w:val="true"/>
          <w:lang w:val="en-GB"/>
        </w:rPr>
        <w:t>:</w:t>
      </w:r>
    </w:p>
    <w:p>
      <w:pPr>
        <w:pStyle w:val="Normal"/>
        <w:spacing w:before="0" w:after="0"/>
        <w:ind w:hanging="360" w:start="360"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אישור התקשרות </w:t>
      </w:r>
      <w:r>
        <w:rPr>
          <w:rFonts w:cs="Tahoma"/>
          <w:szCs w:val="20"/>
          <w:rtl w:val="true"/>
          <w:lang w:val="en-GB"/>
        </w:rPr>
        <w:t>אתר מורשה לפינוי פסולת בניין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0" w:after="0"/>
        <w:ind w:hanging="360" w:start="360"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טופס הצהרה על כמות פסולת בנייה ועודפי עפר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נספח 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lang w:val="en-GB"/>
        </w:rPr>
        <w:t>1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נוהל לאכיפת פינוי מוסדר של פסולת בנייה</w:t>
      </w:r>
      <w:r>
        <w:rPr>
          <w:rFonts w:cs="Tahoma"/>
          <w:szCs w:val="20"/>
          <w:rtl w:val="true"/>
          <w:lang w:val="en-GB"/>
        </w:rPr>
        <w:t>)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                                   </w:t>
      </w:r>
    </w:p>
    <w:p>
      <w:pPr>
        <w:pStyle w:val="Normal"/>
        <w:spacing w:lineRule="auto" w:line="240" w:before="60" w:after="60"/>
        <w:ind w:firstLine="6034" w:end="0"/>
        <w:jc w:val="start"/>
        <w:rPr>
          <w:rFonts w:cs="Tahoma"/>
          <w:b/>
          <w:bCs/>
          <w:szCs w:val="20"/>
          <w:lang w:val="en-GB"/>
        </w:rPr>
      </w:pPr>
      <w:r>
        <w:rPr>
          <w:rFonts w:cs="Tahoma"/>
          <w:b/>
          <w:b/>
          <w:bCs/>
          <w:szCs w:val="20"/>
          <w:rtl w:val="true"/>
          <w:lang w:val="en-GB"/>
        </w:rPr>
        <w:t>האחראי לביקורת על הביצוע</w:t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2026-10-05T09:04:00Z</dcterms:created>
  <dc:creator>מור כהן</dc:creator>
  <dc:description/>
  <cp:keywords/>
  <dc:language>en-US</dc:language>
  <cp:lastModifiedBy>יגאל רבינוביץ</cp:lastModifiedBy>
  <dcterms:modified xsi:type="dcterms:W3CDTF">2026-10-05T09:04:00Z</dcterms:modified>
  <cp:revision>2</cp:revision>
  <dc:subject/>
  <dc:title/>
</cp:coreProperties>
</file>