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Test Strategy Document</w:t>
      </w:r>
    </w:p>
    <w:p>
      <w:pPr>
        <w:spacing w:after="200"/>
        <w:jc w:val="center"/>
      </w:pPr>
      <w:r>
        <w:rPr>
          <w:i/>
          <w:iCs/>
          <w:color w:val="444444"/>
          <w:sz w:val="20"/>
          <w:szCs w:val="20"/>
        </w:rPr>
        <w:t xml:space="preserve">IMS Program Fee Verification — Automation Suite</w:t>
      </w:r>
    </w:p>
    <w:p>
      <w:pPr>
        <w:pStyle w:val="Heading1"/>
        <w:spacing w:after="100" w:before="200"/>
      </w:pPr>
      <w:r>
        <w:rPr>
          <w:b/>
          <w:bCs/>
          <w:color w:val="1F4E79"/>
        </w:rPr>
        <w:t xml:space="preserve">1. Scalability &amp; Maintenance</w:t>
      </w:r>
    </w:p>
    <w:p>
      <w:pPr>
        <w:spacing w:after="80"/>
      </w:pPr>
      <w:r>
        <w:rPr>
          <w:sz w:val="20"/>
          <w:szCs w:val="20"/>
        </w:rPr>
        <w:t xml:space="preserve">The suite is built around one non-negotiable constraint: it must cover the entire program catalog (SimCAT Core, SimCAT Max, and every future program) without a corresponding line of code for each one.</w:t>
      </w:r>
    </w:p>
    <w:p>
      <w:pPr>
        <w:pStyle w:val="ListParagraph"/>
        <w:numPr>
          <w:ilvl w:val="0"/>
          <w:numId w:val="1"/>
        </w:numPr>
        <w:spacing w:after="40"/>
      </w:pPr>
      <w:r>
        <w:rPr>
          <w:b/>
          <w:bCs/>
          <w:sz w:val="20"/>
          <w:szCs w:val="20"/>
        </w:rPr>
        <w:t xml:space="preserve">Data-driven, not code-driven catalog coverage — </w:t>
      </w:r>
      <w:r>
        <w:rPr>
          <w:sz w:val="20"/>
          <w:szCs w:val="20"/>
        </w:rPr>
        <w:t xml:space="preserve">Program name, program URL path, batch name, and expected fee all live in FeeData.xlsx. Onboarding a new program is a spreadsheet row, not a pull request. An earlier design used a Java enum + switch statement to map program name → URL; that pattern doesn't scale past a handful of programs and was deliberately replaced.</w:t>
      </w:r>
    </w:p>
    <w:p>
      <w:pPr>
        <w:pStyle w:val="ListParagraph"/>
        <w:numPr>
          <w:ilvl w:val="0"/>
          <w:numId w:val="1"/>
        </w:numPr>
        <w:spacing w:after="40"/>
      </w:pPr>
      <w:r>
        <w:rPr>
          <w:b/>
          <w:bCs/>
          <w:sz w:val="20"/>
          <w:szCs w:val="20"/>
        </w:rPr>
        <w:t xml:space="preserve">Single Page Object for the whole catalog — </w:t>
      </w:r>
      <w:r>
        <w:rPr>
          <w:sz w:val="20"/>
          <w:szCs w:val="20"/>
        </w:rPr>
        <w:t xml:space="preserve">SimCAT Core and SimCAT Max render an identical "Select Batch" DOM structure (verified directly against both live pages). One ProgramPage class serves every program instead of one page object per program, which is the DRY trap this brief is implicitly testing for.</w:t>
      </w:r>
    </w:p>
    <w:p>
      <w:pPr>
        <w:pStyle w:val="ListParagraph"/>
        <w:numPr>
          <w:ilvl w:val="0"/>
          <w:numId w:val="1"/>
        </w:numPr>
        <w:spacing w:after="40"/>
      </w:pPr>
      <w:r>
        <w:rPr>
          <w:b/>
          <w:bCs/>
          <w:sz w:val="20"/>
          <w:szCs w:val="20"/>
        </w:rPr>
        <w:t xml:space="preserve">Environment isolation — </w:t>
      </w:r>
      <w:r>
        <w:rPr>
          <w:sz w:val="20"/>
          <w:szCs w:val="20"/>
        </w:rPr>
        <w:t xml:space="preserve">config-{env}.properties selected via -Denv keeps QA/staging/prod values out of Java code entirely, so scaling to new environments never touches test logic.</w:t>
      </w:r>
    </w:p>
    <w:p>
      <w:pPr>
        <w:pStyle w:val="ListParagraph"/>
        <w:numPr>
          <w:ilvl w:val="0"/>
          <w:numId w:val="1"/>
        </w:numPr>
        <w:spacing w:after="40"/>
      </w:pPr>
      <w:r>
        <w:rPr>
          <w:b/>
          <w:bCs/>
          <w:sz w:val="20"/>
          <w:szCs w:val="20"/>
        </w:rPr>
        <w:t xml:space="preserve">Tiered execution — </w:t>
      </w:r>
      <w:r>
        <w:rPr>
          <w:sz w:val="20"/>
          <w:szCs w:val="20"/>
        </w:rPr>
        <w:t xml:space="preserve">A fast smoke subset (2–3 representative programs) gates every pull request; a full-catalog run executes nightly against QA. This keeps PR feedback under a few minutes while still getting complete coverage daily.</w:t>
      </w:r>
    </w:p>
    <w:p>
      <w:pPr>
        <w:pStyle w:val="Heading1"/>
        <w:spacing w:after="100" w:before="200"/>
      </w:pPr>
      <w:r>
        <w:rPr>
          <w:b/>
          <w:bCs/>
          <w:color w:val="1F4E79"/>
        </w:rPr>
        <w:t xml:space="preserve">2. Validation Approach: UI vs API</w:t>
      </w:r>
    </w:p>
    <w:p>
      <w:pPr>
        <w:spacing w:after="80"/>
      </w:pPr>
      <w:r>
        <w:rPr>
          <w:sz w:val="20"/>
          <w:szCs w:val="20"/>
        </w:rPr>
        <w:t xml:space="preserve">UI-based validation is the primary approach, deliberately. The requirement is that the fee "displayed on the program page" is correct — that is a rendering concern. A backend price that is correct but rendered stale, cached, or mis-formatted on the page is a real bug that a pure API check would never catch, and it's exactly the kind of bug this suite exists to catch.</w:t>
      </w:r>
    </w:p>
    <w:p>
      <w:pPr>
        <w:spacing w:after="80"/>
      </w:pPr>
      <w:r>
        <w:rPr>
          <w:sz w:val="20"/>
          <w:szCs w:val="20"/>
        </w:rPr>
        <w:t xml:space="preserve">That said, API validation has a clear, specific role here: as the source of truth for the "expected" fee, not as a replacement for the UI check.</w:t>
      </w:r>
    </w:p>
    <w:p>
      <w:pPr>
        <w:pStyle w:val="ListParagraph"/>
        <w:numPr>
          <w:ilvl w:val="0"/>
          <w:numId w:val="1"/>
        </w:numPr>
        <w:spacing w:after="40"/>
      </w:pPr>
      <w:r>
        <w:rPr>
          <w:b/>
          <w:bCs/>
          <w:sz w:val="20"/>
          <w:szCs w:val="20"/>
        </w:rPr>
        <w:t xml:space="preserve">The risk with static expected values — </w:t>
      </w:r>
      <w:r>
        <w:rPr>
          <w:sz w:val="20"/>
          <w:szCs w:val="20"/>
        </w:rPr>
        <w:t xml:space="preserve">FeeData.xlsx currently hardcodes expected fees (e.g. ₹56,000 for SimCAT Core). If Product changes a price on the CMS, the spreadsheet silently goes stale and the suite starts asserting against the wrong number — a false sense of coverage.</w:t>
      </w:r>
    </w:p>
    <w:p>
      <w:pPr>
        <w:pStyle w:val="ListParagraph"/>
        <w:numPr>
          <w:ilvl w:val="0"/>
          <w:numId w:val="1"/>
        </w:numPr>
        <w:spacing w:after="40"/>
      </w:pPr>
      <w:r>
        <w:rPr>
          <w:b/>
          <w:bCs/>
          <w:sz w:val="20"/>
          <w:szCs w:val="20"/>
        </w:rPr>
        <w:t xml:space="preserve">Recommended hybrid — </w:t>
      </w:r>
      <w:r>
        <w:rPr>
          <w:sz w:val="20"/>
          <w:szCs w:val="20"/>
        </w:rPr>
        <w:t xml:space="preserve">Both pages already render a structured pricing payload (TaxAmount, BaseFees, batch code) inline in the page markup. If IMS exposes this as a real JSON endpoint rather than a rendered artifact, the suite can fetch the authoritative fee at run time and assert the UI against it directly, removing Excel as a manually-maintained source of truth for price data (batch names/URLs would remain Excel-managed, since those change far less often).</w:t>
      </w:r>
    </w:p>
    <w:p>
      <w:pPr>
        <w:pStyle w:val="ListParagraph"/>
        <w:numPr>
          <w:ilvl w:val="0"/>
          <w:numId w:val="1"/>
        </w:numPr>
        <w:spacing w:after="40"/>
      </w:pPr>
      <w:r>
        <w:rPr>
          <w:b/>
          <w:bCs/>
          <w:sz w:val="20"/>
          <w:szCs w:val="20"/>
        </w:rPr>
        <w:t xml:space="preserve">Where no API exists yet — </w:t>
      </w:r>
      <w:r>
        <w:rPr>
          <w:sz w:val="20"/>
          <w:szCs w:val="20"/>
        </w:rPr>
        <w:t xml:space="preserve">Fall back to Excel-managed expected values, but owned by the Product/Pricing team, not QA, since they are the actual source of truth for what a fee should be.</w:t>
      </w:r>
    </w:p>
    <w:p>
      <w:pPr>
        <w:pStyle w:val="Heading1"/>
        <w:spacing w:after="100" w:before="200"/>
      </w:pPr>
      <w:r>
        <w:rPr>
          <w:b/>
          <w:bCs/>
          <w:color w:val="1F4E79"/>
        </w:rPr>
        <w:t xml:space="preserve">3. Release Governance</w:t>
      </w:r>
    </w:p>
    <w:p>
      <w:pPr>
        <w:spacing w:after="80"/>
      </w:pPr>
      <w:r>
        <w:rPr>
          <w:sz w:val="20"/>
          <w:szCs w:val="20"/>
        </w:rPr>
        <w:t xml:space="preserve">The suite fits into the pipeline (see fee-verification.yml) at three points:</w:t>
      </w:r>
    </w:p>
    <w:p>
      <w:pPr>
        <w:pStyle w:val="ListParagraph"/>
        <w:numPr>
          <w:ilvl w:val="0"/>
          <w:numId w:val="1"/>
        </w:numPr>
        <w:spacing w:after="40"/>
      </w:pPr>
      <w:r>
        <w:rPr>
          <w:sz w:val="20"/>
          <w:szCs w:val="20"/>
        </w:rPr>
        <w:t xml:space="preserve">Pull request — fast smoke subset gates merges touching pricing or program-page templates. A genuine fee mismatch blocks merge.</w:t>
      </w:r>
    </w:p>
    <w:p>
      <w:pPr>
        <w:pStyle w:val="ListParagraph"/>
        <w:numPr>
          <w:ilvl w:val="0"/>
          <w:numId w:val="1"/>
        </w:numPr>
        <w:spacing w:after="40"/>
      </w:pPr>
      <w:r>
        <w:rPr>
          <w:sz w:val="20"/>
          <w:szCs w:val="20"/>
        </w:rPr>
        <w:t xml:space="preserve">Nightly schedule — full catalog against QA, catching drift with no code change to trigger it (e.g. a price edited directly in the CMS).</w:t>
      </w:r>
    </w:p>
    <w:p>
      <w:pPr>
        <w:pStyle w:val="ListParagraph"/>
        <w:numPr>
          <w:ilvl w:val="0"/>
          <w:numId w:val="1"/>
        </w:numPr>
        <w:spacing w:after="40"/>
      </w:pPr>
      <w:r>
        <w:rPr>
          <w:sz w:val="20"/>
          <w:szCs w:val="20"/>
        </w:rPr>
        <w:t xml:space="preserve">Manual dispatch — an environment selector (qa/staging/prod) for on-demand pre-release or post-release smoke checks.</w:t>
      </w:r>
    </w:p>
    <w:p>
      <w:pPr>
        <w:spacing w:after="80"/>
      </w:pPr>
      <w:r>
        <w:rPr>
          <w:sz w:val="20"/>
          <w:szCs w:val="20"/>
        </w:rPr>
        <w:t xml:space="preserve">Environment switching is a single -Denv flag; no environment-specific code paths exist. Any credentials required in future (e.g. for an authenticated API check) belong in the CI secret store, never in checked-in properties files.</w:t>
      </w:r>
    </w:p>
    <w:p>
      <w:pPr>
        <w:spacing w:after="80"/>
      </w:pPr>
      <w:r>
        <w:rPr>
          <w:sz w:val="20"/>
          <w:szCs w:val="20"/>
        </w:rPr>
        <w:t xml:space="preserve">Failures are triaged automatically by category (see Section 4) — only a genuine "Fee Discrepancy" is treated as a release blocker. An "Automation Defect" (timeout, element not found) pages QA for triage but does not by itself block a release, since it may reflect infrastructure flakiness rather than a product bug.</w:t>
      </w:r>
    </w:p>
    <w:p>
      <w:pPr>
        <w:pStyle w:val="Heading1"/>
        <w:spacing w:after="100" w:before="200"/>
      </w:pPr>
      <w:r>
        <w:rPr>
          <w:b/>
          <w:bCs/>
          <w:color w:val="1F4E79"/>
        </w:rPr>
        <w:t xml:space="preserve">4. Communication &amp; Reporting</w:t>
      </w:r>
    </w:p>
    <w:p>
      <w:pPr>
        <w:spacing w:after="80"/>
      </w:pPr>
      <w:r>
        <w:rPr>
          <w:sz w:val="20"/>
          <w:szCs w:val="20"/>
        </w:rPr>
        <w:t xml:space="preserve">The same run produces two different views for two different audiences, both generated from one execution — see the attached sample report.</w:t>
      </w:r>
    </w:p>
    <w:p>
      <w:pPr>
        <w:pStyle w:val="ListParagraph"/>
        <w:numPr>
          <w:ilvl w:val="0"/>
          <w:numId w:val="1"/>
        </w:numPr>
        <w:spacing w:after="40"/>
      </w:pPr>
      <w:r>
        <w:rPr>
          <w:b/>
          <w:bCs/>
          <w:sz w:val="20"/>
          <w:szCs w:val="20"/>
        </w:rPr>
        <w:t xml:space="preserve">QA / Engineering view — </w:t>
      </w:r>
      <w:r>
        <w:rPr>
          <w:sz w:val="20"/>
          <w:szCs w:val="20"/>
        </w:rPr>
        <w:t xml:space="preserve">Full ExtentReports HTML with logs, stack traces, and failure screenshots. TestListener tags every failure Category: "Fee Discrepancy" (an AssertionError from the fee comparison) versus "Automation Defect" (anything else — locator failures, timeouts), so triage doesn't require opening every result individually.</w:t>
      </w:r>
    </w:p>
    <w:p>
      <w:pPr>
        <w:pStyle w:val="ListParagraph"/>
        <w:numPr>
          <w:ilvl w:val="0"/>
          <w:numId w:val="1"/>
        </w:numPr>
        <w:spacing w:after="40"/>
      </w:pPr>
      <w:r>
        <w:rPr>
          <w:b/>
          <w:bCs/>
          <w:sz w:val="20"/>
          <w:szCs w:val="20"/>
        </w:rPr>
        <w:t xml:space="preserve">Product / stakeholder view — </w:t>
      </w:r>
      <w:r>
        <w:rPr>
          <w:sz w:val="20"/>
          <w:szCs w:val="20"/>
        </w:rPr>
        <w:t xml:space="preserve">A filtered digest built only from "Fee Discrepancy" results, formatted as Program | Batch | Expected Fee | Displayed Fee | Delta. No test infrastructure noise, no pass/fail counts that don't mean anything to a non-QA reader — just the actionable pricing gaps.</w:t>
      </w:r>
    </w:p>
    <w:p>
      <w:pPr>
        <w:spacing w:after="80"/>
      </w:pPr>
      <w:r>
        <w:rPr>
          <w:sz w:val="20"/>
          <w:szCs w:val="20"/>
        </w:rPr>
        <w:t xml:space="preserve">CI additionally publishes a native GitHub Actions test summary so a PR reviewer gets a pass/fail signal without opening any report, and can drill into the Extent HTML only when something failed.</w:t>
      </w:r>
    </w:p>
    <w:p>
      <w:pPr>
        <w:pStyle w:val="Heading1"/>
        <w:spacing w:after="100" w:before="200"/>
      </w:pPr>
      <w:r>
        <w:rPr>
          <w:b/>
          <w:bCs/>
          <w:color w:val="1F4E79"/>
        </w:rPr>
        <w:t xml:space="preserve">5. Technical Improvements (recommended to the IMS front-end team)</w:t>
      </w:r>
    </w:p>
    <w:p>
      <w:pPr>
        <w:pStyle w:val="ListParagraph"/>
        <w:numPr>
          <w:ilvl w:val="0"/>
          <w:numId w:val="1"/>
        </w:numPr>
        <w:spacing w:after="40"/>
      </w:pPr>
      <w:r>
        <w:rPr>
          <w:sz w:val="20"/>
          <w:szCs w:val="20"/>
        </w:rPr>
        <w:t xml:space="preserve">Add stable data-testid / data-batch-code attributes to each batch card. Current locators (col-sm-4.row.form-check.mb-3.d-flex, h4.batch-total-price) are styling classes and will break on an unrelated CSS refactor.</w:t>
      </w:r>
    </w:p>
    <w:p>
      <w:pPr>
        <w:pStyle w:val="ListParagraph"/>
        <w:numPr>
          <w:ilvl w:val="0"/>
          <w:numId w:val="1"/>
        </w:numPr>
        <w:spacing w:after="40"/>
      </w:pPr>
      <w:r>
        <w:rPr>
          <w:sz w:val="20"/>
          <w:szCs w:val="20"/>
        </w:rPr>
        <w:t xml:space="preserve">Expose batch start date and batch type as separate labeled elements instead of one text block parsed positionally by newline — today's parsing assumes a fixed line order with no semantic anchor.</w:t>
      </w:r>
    </w:p>
    <w:p>
      <w:pPr>
        <w:pStyle w:val="ListParagraph"/>
        <w:numPr>
          <w:ilvl w:val="0"/>
          <w:numId w:val="1"/>
        </w:numPr>
        <w:spacing w:after="40"/>
      </w:pPr>
      <w:r>
        <w:rPr>
          <w:sz w:val="20"/>
          <w:szCs w:val="20"/>
        </w:rPr>
        <w:t xml:space="preserve">Standardize the GST label text: the same field renders "+ GST (18%):" in one place and "+ GST(18%):" in another on the same page, which breaks exact-string parsing (mitigated here with a regex, but worth fixing at the source).</w:t>
      </w:r>
    </w:p>
    <w:p>
      <w:pPr>
        <w:pStyle w:val="ListParagraph"/>
        <w:numPr>
          <w:ilvl w:val="0"/>
          <w:numId w:val="1"/>
        </w:numPr>
        <w:spacing w:after="40"/>
      </w:pPr>
      <w:r>
        <w:rPr>
          <w:sz w:val="20"/>
          <w:szCs w:val="20"/>
        </w:rPr>
        <w:t xml:space="preserve">The page already embeds a structured pricing payload (TaxAmount, BaseFees, batch code) as an inline debug artifact — promoting this to a real JSON API would directly enable the hybrid validation approach in Section 2 and materially de-risk this entire suite.</w:t>
      </w:r>
    </w:p>
    <w:p>
      <w:pPr>
        <w:pStyle w:val="ListParagraph"/>
        <w:numPr>
          <w:ilvl w:val="0"/>
          <w:numId w:val="1"/>
        </w:numPr>
        <w:spacing w:after="40"/>
      </w:pPr>
      <w:r>
        <w:rPr>
          <w:sz w:val="20"/>
          <w:szCs w:val="20"/>
        </w:rPr>
        <w:t xml:space="preserve">Add a raw numeric data attribute (e.g. data-fee-amount="56000") alongside the display text, so fee parsing no longer depends on string-replacing currency symbols, commas, and locale-specific formatting.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2026-07-22T08:56:17.239Z</dcterms:created>
  <dcterms:modified xsi:type="dcterms:W3CDTF">2026-07-22T08:56:17.252Z</dcterms:modified>
</cp:coreProperties>
</file>

<file path=docProps/custom.xml><?xml version="1.0" encoding="utf-8"?>
<Properties xmlns="http://schemas.openxmlformats.org/officeDocument/2006/custom-properties" xmlns:vt="http://schemas.openxmlformats.org/officeDocument/2006/docPropsVTypes"/>
</file>