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IMS Program Fee Verification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Test Strategy Document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Scalability &amp; Maintenance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The catalog is a data problem, not a code problem. Every IMS program page — SimCAT Core, SimCAT Max, and every program added later — renders the same batch-card DOM structure. One page object, ProgramPage, models that structure once; the program itself is a URL supplied as a row in FeeData.xlsx. Onboarding a new program or batch is a spreadsheet edit; it never touches TypeScript.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This buys three specific properties for this suite: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Linear data growth, constant code growth. 4 rows or 400 rows run through the exact same ProgramPage and the exact same spec file — Playwright fans each row into its own parallelizable test at collection time.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One fix point for DOM drift. If IMS renames a CSS class on the batch card, it's a one-line change in ProgramPage, not N page objects across N programs.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Tolerant parsing at the two spots most likely to drift: fee text (currency symbol / thousands separators / “/-” suffix are stripped, not exact-matched) and the GST label (regex handles spacing/wording variance). Content edits shouldn't fail automation; structural changes should.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Validation Approach — UI vs. API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UI validation is the right primary approach here, not a default. The requirement is specifically that the fee a real user sees on the rendered page matches the expected value — that's a rendering assertion, and no API response can confirm what actually painted to the DOM (a caching bug, a stale bundle, or a currency-formatting regression could all pass an API check and still show the wrong fee to a customer).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Where API testing earns its place is stability, not correctness: hitting the underlying program/batch/fee endpoint (if IMS exposes one, or by intercepting the XHR the page already makes via Playwright's built-in request interception) to independently source the “expected fee” instead of hardcoding it in FeeData.xlsx. That closes the real gap in the current design — the spreadsheet's expected values need a human to update them when IMS changes pricing, so they can silently drift out of sync with the business's actual source of truth.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Recommended split for this suite: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UI (Playwright, current suite): the fee-matches-fee-displayed assertion — this is the test that catches real customer-facing defects.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API (recommended addition): a lightweight pre-test step that pulls expected fees directly from the pricing/programs API into FeeData.xlsx's role, removing spreadsheet staleness as a failure mode and letting the suite flag “API and UI disagree” as its own category, separate from “UI shows something unexpected.”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Both layers matter, but UI stays authoritative for this specific requirement — verifying what the customer sees.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Release Governance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The pipeline (.github/workflows/fee-verification.yml, with a Jenkinsfile alternative) runs the suite in three distinct modes so different risk profiles get different cadences: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pct" w:w="18%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pct" w:w="60%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Pull request → main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qa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Fast feedback before merge; single browser (chromium) to keep PR checks quick.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Nightly schedule (02:00 UTC)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staging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Full cross-browser regression (chromium/firefox/webkit) against a stable, pre-prod catalog snapshot.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Manual dispatch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qa / staging / prod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18"/>
                <w:szCs w:val="18"/>
              </w:rPr>
              <w:t xml:space="preserve">On-demand run against any environment/browser — e.g. a smoke check right after a prod pricing change ships.</w:t>
            </w:r>
          </w:p>
        </w:tc>
      </w:tr>
    </w:tbl>
    <w:p>
      <w:pPr>
        <w:spacing w:before="100"/>
      </w:pP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Environment switching is a single ENV variable (ConfigReader resolves config/config.{env}.json for baseUrl, timeouts, retries, worker count) — the suite never hardcodes an environment, so promoting from qa to staging to prod is a pipeline parameter, not a branch or a code change. Prod runs default to fewer workers and more retries, reflecting that prod is shared, rate-limit-sensitive infrastructure, not a disposable test environment.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Artifacts (Playwright HTML report, the stakeholder fee report, JUnit XML) are uploaded on every run, pass or fail, so a flaky nightly run has a trace to diagnose without needing to reproduce it locally.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Communication &amp; Reporting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 flat pass/fail count tells a product manager nothing actionable — it doesn't say whether IMS is charging the wrong fee or whether a locator broke. FeeDiscrepancyReporter (a custom Playwright reporter, see docs/sample-execution-report.html) splits every failure into exactly the two categories a stakeholder needs to route work correctly: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Fee Discrepancy — the assertion failed and the expected/displayed values genuinely differ. This is a product/content issue: someone changed a fee on the CMS side without updating the business's expected value. Routed to the Product team, with the exact expected vs. displayed numbers front and center.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Automation Defect — a timeout, missing locator, or navigation failure with no completed fee comparison. This is a framework/environment issue, routed to QA/Automation, and kept out of the product team's view entirely so they never have to triage noise.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This is a direct upgrade over a single pass/fail line: the report leads with the discrepancy table, so a stakeholder scanning it for 10 seconds sees exactly which batches are mispriced and by how much, without reading a stack trace.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Technical Improvements to the Page Under Test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Recommendations to make the IMS program page itself more testable, independent of any framework: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Stable data-testid attributes on every batch card and its fee/GST/date/type fields (e.g. data-testid="batch-card", data-testid="batch-fee"). CSS classes like h4.batch-total-price are presentation hooks and will change with a redesign; a dedicated test attribute survives styling changes.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Machine-readable fee values. The fee is only available as formatted display text (“₹1,00,000/-”), forcing every consumer to re-implement currency parsing. A data-fee="100000" attribute (raw integer, no formatting) alongside the display text removes an entire class of parsing bugs.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 stable batch identifier independent of display name. Batches are currently matched by visible name text, which is fragile to trailing whitespace, casing, or copy edits (“batch cv” vs “Batch CV”). A stable data-batch-id would let tests (and the business's own systems) reference a batch unambiguously.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 JSON endpoint or embedded structured-data block (e.g. a script[type="application/ld+json"] or an internal API) exposing program/batch/fee data server-side. This is what would make the API-based cross-check in Section 2 possible without scraping.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2026-08-10T05:27:50.219Z</dcterms:created>
  <dcterms:modified xsi:type="dcterms:W3CDTF">2026-08-10T05:27:50.219Z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