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color w:val="1c4587"/>
          <w:sz w:val="60"/>
          <w:szCs w:val="60"/>
          <w:rtl w:val="0"/>
        </w:rPr>
        <w:t xml:space="preserve">Legal Operation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Asaf Kalifa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color w:val="1c4587"/>
          <w:sz w:val="26"/>
          <w:szCs w:val="26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kalifaasaf8@gmail.com</w:t>
        </w:r>
      </w:hyperlink>
      <w:r w:rsidDel="00000000" w:rsidR="00000000" w:rsidRPr="00000000">
        <w:rPr>
          <w:highlight w:val="white"/>
          <w:rtl w:val="0"/>
        </w:rPr>
        <w:t xml:space="preserve">    |  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highlight w:val="white"/>
          <w:rtl w:val="0"/>
        </w:rPr>
        <w:t xml:space="preserve">   |   054-47-74576    |    Tel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highlight w:val="white"/>
        </w:rPr>
      </w:pPr>
      <w:r w:rsidDel="00000000" w:rsidR="00000000" w:rsidRPr="00000000">
        <w:rPr>
          <w:b w:val="1"/>
          <w:color w:val="1c4587"/>
          <w:sz w:val="26"/>
          <w:szCs w:val="26"/>
          <w:highlight w:val="white"/>
          <w:rtl w:val="0"/>
        </w:rPr>
        <w:t xml:space="preserve">Summary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Qualified Israeli attorney with 3+ years of experience in </w:t>
      </w:r>
      <w:r w:rsidDel="00000000" w:rsidR="00000000" w:rsidRPr="00000000">
        <w:rPr>
          <w:b w:val="1"/>
          <w:highlight w:val="white"/>
          <w:rtl w:val="0"/>
        </w:rPr>
        <w:t xml:space="preserve">commercial litigation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corporate law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regulatory compliance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Proven ability to</w:t>
      </w:r>
      <w:r w:rsidDel="00000000" w:rsidR="00000000" w:rsidRPr="00000000">
        <w:rPr>
          <w:b w:val="1"/>
          <w:highlight w:val="white"/>
          <w:rtl w:val="0"/>
        </w:rPr>
        <w:t xml:space="preserve"> support legal operations</w:t>
      </w:r>
      <w:r w:rsidDel="00000000" w:rsidR="00000000" w:rsidRPr="00000000">
        <w:rPr>
          <w:highlight w:val="white"/>
          <w:rtl w:val="0"/>
        </w:rPr>
        <w:t xml:space="preserve"> through </w:t>
      </w:r>
      <w:r w:rsidDel="00000000" w:rsidR="00000000" w:rsidRPr="00000000">
        <w:rPr>
          <w:b w:val="1"/>
          <w:highlight w:val="white"/>
          <w:rtl w:val="0"/>
        </w:rPr>
        <w:t xml:space="preserve">cross-functional collaboration</w:t>
      </w:r>
      <w:r w:rsidDel="00000000" w:rsidR="00000000" w:rsidRPr="00000000">
        <w:rPr>
          <w:highlight w:val="white"/>
          <w:rtl w:val="0"/>
        </w:rPr>
        <w:t xml:space="preserve">, process improvement, internal controls, and </w:t>
      </w:r>
      <w:r w:rsidDel="00000000" w:rsidR="00000000" w:rsidRPr="00000000">
        <w:rPr>
          <w:b w:val="1"/>
          <w:highlight w:val="white"/>
          <w:rtl w:val="0"/>
        </w:rPr>
        <w:t xml:space="preserve">legal knowledge management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Advised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fintech companies</w:t>
      </w:r>
      <w:r w:rsidDel="00000000" w:rsidR="00000000" w:rsidRPr="00000000">
        <w:rPr>
          <w:highlight w:val="white"/>
          <w:rtl w:val="0"/>
        </w:rPr>
        <w:t xml:space="preserve"> (Pagaya, Fire Financial Technologies) on regulatory compliance, enforcement, and </w:t>
      </w:r>
      <w:r w:rsidDel="00000000" w:rsidR="00000000" w:rsidRPr="00000000">
        <w:rPr>
          <w:b w:val="1"/>
          <w:highlight w:val="white"/>
          <w:rtl w:val="0"/>
        </w:rPr>
        <w:t xml:space="preserve">risk management</w:t>
      </w:r>
      <w:r w:rsidDel="00000000" w:rsidR="00000000" w:rsidRPr="00000000">
        <w:rPr>
          <w:highlight w:val="white"/>
          <w:rtl w:val="0"/>
        </w:rPr>
        <w:t xml:space="preserve">, with a focus on </w:t>
      </w:r>
      <w:r w:rsidDel="00000000" w:rsidR="00000000" w:rsidRPr="00000000">
        <w:rPr>
          <w:b w:val="1"/>
          <w:highlight w:val="white"/>
          <w:rtl w:val="0"/>
        </w:rPr>
        <w:t xml:space="preserve">internal governance</w:t>
      </w:r>
      <w:r w:rsidDel="00000000" w:rsidR="00000000" w:rsidRPr="00000000">
        <w:rPr>
          <w:highlight w:val="white"/>
          <w:rtl w:val="0"/>
        </w:rPr>
        <w:t xml:space="preserve"> and alignment with global standards.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Skilled in drafting and </w:t>
      </w:r>
      <w:r w:rsidDel="00000000" w:rsidR="00000000" w:rsidRPr="00000000">
        <w:rPr>
          <w:b w:val="1"/>
          <w:highlight w:val="white"/>
          <w:rtl w:val="0"/>
        </w:rPr>
        <w:t xml:space="preserve">negotiating employment agreements</w:t>
      </w:r>
      <w:r w:rsidDel="00000000" w:rsidR="00000000" w:rsidRPr="00000000">
        <w:rPr>
          <w:highlight w:val="white"/>
          <w:rtl w:val="0"/>
        </w:rPr>
        <w:t xml:space="preserve">, founders’ agreements, commercial contracts, and </w:t>
      </w:r>
      <w:r w:rsidDel="00000000" w:rsidR="00000000" w:rsidRPr="00000000">
        <w:rPr>
          <w:b w:val="1"/>
          <w:highlight w:val="white"/>
          <w:rtl w:val="0"/>
        </w:rPr>
        <w:t xml:space="preserve">data privacy policies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Experienced in </w:t>
      </w:r>
      <w:r w:rsidDel="00000000" w:rsidR="00000000" w:rsidRPr="00000000">
        <w:rPr>
          <w:b w:val="1"/>
          <w:highlight w:val="white"/>
          <w:rtl w:val="0"/>
        </w:rPr>
        <w:t xml:space="preserve">developing internal policies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procedures</w:t>
      </w:r>
      <w:r w:rsidDel="00000000" w:rsidR="00000000" w:rsidRPr="00000000">
        <w:rPr>
          <w:highlight w:val="white"/>
          <w:rtl w:val="0"/>
        </w:rPr>
        <w:t xml:space="preserve"> that ensure legal accuracy, support business goals, and enable </w:t>
      </w:r>
      <w:r w:rsidDel="00000000" w:rsidR="00000000" w:rsidRPr="00000000">
        <w:rPr>
          <w:b w:val="1"/>
          <w:highlight w:val="white"/>
          <w:rtl w:val="0"/>
        </w:rPr>
        <w:t xml:space="preserve">scalable operations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Led the implementation</w:t>
      </w:r>
      <w:r w:rsidDel="00000000" w:rsidR="00000000" w:rsidRPr="00000000">
        <w:rPr>
          <w:highlight w:val="white"/>
          <w:rtl w:val="0"/>
        </w:rPr>
        <w:t xml:space="preserve"> of internal legal knowledge systems, improving access to resources and </w:t>
      </w:r>
      <w:r w:rsidDel="00000000" w:rsidR="00000000" w:rsidRPr="00000000">
        <w:rPr>
          <w:b w:val="1"/>
          <w:highlight w:val="white"/>
          <w:rtl w:val="0"/>
        </w:rPr>
        <w:t xml:space="preserve">operational efficiency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Former personal assistant to football agent Pini Zahavi;</w:t>
      </w:r>
      <w:r w:rsidDel="00000000" w:rsidR="00000000" w:rsidRPr="00000000">
        <w:rPr>
          <w:highlight w:val="white"/>
          <w:rtl w:val="0"/>
        </w:rPr>
        <w:t xml:space="preserve"> demonstrated strengths in stakeholder coordination, negotiation, and high-pressure business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0" w:lineRule="auto"/>
        <w:rPr>
          <w:highlight w:val="white"/>
        </w:rPr>
      </w:pPr>
      <w:r w:rsidDel="00000000" w:rsidR="00000000" w:rsidRPr="00000000">
        <w:rPr>
          <w:b w:val="1"/>
          <w:color w:val="1c4587"/>
          <w:sz w:val="26"/>
          <w:szCs w:val="26"/>
          <w:highlight w:val="whit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2024 - current    </w:t>
      </w:r>
      <w:r w:rsidDel="00000000" w:rsidR="00000000" w:rsidRPr="00000000">
        <w:rPr>
          <w:b w:val="1"/>
          <w:highlight w:val="white"/>
          <w:rtl w:val="0"/>
        </w:rPr>
        <w:t xml:space="preserve">Legal Operation</w:t>
      </w:r>
      <w:r w:rsidDel="00000000" w:rsidR="00000000" w:rsidRPr="00000000">
        <w:rPr>
          <w:highlight w:val="white"/>
          <w:rtl w:val="0"/>
        </w:rPr>
        <w:t xml:space="preserve">, Aoi - Abadi, Vaknin &amp; Co.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Led </w:t>
      </w:r>
      <w:r w:rsidDel="00000000" w:rsidR="00000000" w:rsidRPr="00000000">
        <w:rPr>
          <w:b w:val="1"/>
          <w:highlight w:val="white"/>
          <w:rtl w:val="0"/>
        </w:rPr>
        <w:t xml:space="preserve">complex legal proceedings</w:t>
      </w:r>
      <w:r w:rsidDel="00000000" w:rsidR="00000000" w:rsidRPr="00000000">
        <w:rPr>
          <w:highlight w:val="white"/>
          <w:rtl w:val="0"/>
        </w:rPr>
        <w:t xml:space="preserve"> before Israel’s highest courts, including the Supreme Court, with a focus on </w:t>
      </w:r>
      <w:r w:rsidDel="00000000" w:rsidR="00000000" w:rsidRPr="00000000">
        <w:rPr>
          <w:b w:val="1"/>
          <w:highlight w:val="white"/>
          <w:rtl w:val="0"/>
        </w:rPr>
        <w:t xml:space="preserve">strategy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documentation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procedural precision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Drafted a broad range of </w:t>
      </w:r>
      <w:r w:rsidDel="00000000" w:rsidR="00000000" w:rsidRPr="00000000">
        <w:rPr>
          <w:b w:val="1"/>
          <w:highlight w:val="white"/>
          <w:rtl w:val="0"/>
        </w:rPr>
        <w:t xml:space="preserve">legal documents</w:t>
      </w:r>
      <w:r w:rsidDel="00000000" w:rsidR="00000000" w:rsidRPr="00000000">
        <w:rPr>
          <w:highlight w:val="white"/>
          <w:rtl w:val="0"/>
        </w:rPr>
        <w:t xml:space="preserve">, including claims, motions, interim relief applications, and injunctions, ensuring alignment with </w:t>
      </w:r>
      <w:r w:rsidDel="00000000" w:rsidR="00000000" w:rsidRPr="00000000">
        <w:rPr>
          <w:b w:val="1"/>
          <w:highlight w:val="white"/>
          <w:rtl w:val="0"/>
        </w:rPr>
        <w:t xml:space="preserve">client objectives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risk considerations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Represented </w:t>
      </w:r>
      <w:r w:rsidDel="00000000" w:rsidR="00000000" w:rsidRPr="00000000">
        <w:rPr>
          <w:b w:val="1"/>
          <w:highlight w:val="white"/>
          <w:rtl w:val="0"/>
        </w:rPr>
        <w:t xml:space="preserve">commercial clients</w:t>
      </w:r>
      <w:r w:rsidDel="00000000" w:rsidR="00000000" w:rsidRPr="00000000">
        <w:rPr>
          <w:highlight w:val="white"/>
          <w:rtl w:val="0"/>
        </w:rPr>
        <w:t xml:space="preserve"> in </w:t>
      </w:r>
      <w:r w:rsidDel="00000000" w:rsidR="00000000" w:rsidRPr="00000000">
        <w:rPr>
          <w:b w:val="1"/>
          <w:highlight w:val="white"/>
          <w:rtl w:val="0"/>
        </w:rPr>
        <w:t xml:space="preserve">high-value disputes</w:t>
      </w:r>
      <w:r w:rsidDel="00000000" w:rsidR="00000000" w:rsidRPr="00000000">
        <w:rPr>
          <w:highlight w:val="white"/>
          <w:rtl w:val="0"/>
        </w:rPr>
        <w:t xml:space="preserve">, delivering legal solutions grounded in both legal insight and </w:t>
      </w:r>
      <w:r w:rsidDel="00000000" w:rsidR="00000000" w:rsidRPr="00000000">
        <w:rPr>
          <w:b w:val="1"/>
          <w:highlight w:val="white"/>
          <w:rtl w:val="0"/>
        </w:rPr>
        <w:t xml:space="preserve">operational awareness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Conducted </w:t>
      </w:r>
      <w:r w:rsidDel="00000000" w:rsidR="00000000" w:rsidRPr="00000000">
        <w:rPr>
          <w:b w:val="1"/>
          <w:highlight w:val="white"/>
          <w:rtl w:val="0"/>
        </w:rPr>
        <w:t xml:space="preserve">legal risk assessments</w:t>
      </w:r>
      <w:r w:rsidDel="00000000" w:rsidR="00000000" w:rsidRPr="00000000">
        <w:rPr>
          <w:highlight w:val="white"/>
          <w:rtl w:val="0"/>
        </w:rPr>
        <w:t xml:space="preserve"> and advised on </w:t>
      </w:r>
      <w:r w:rsidDel="00000000" w:rsidR="00000000" w:rsidRPr="00000000">
        <w:rPr>
          <w:b w:val="1"/>
          <w:highlight w:val="white"/>
          <w:rtl w:val="0"/>
        </w:rPr>
        <w:t xml:space="preserve">Litigation strategies</w:t>
      </w:r>
      <w:r w:rsidDel="00000000" w:rsidR="00000000" w:rsidRPr="00000000">
        <w:rPr>
          <w:highlight w:val="white"/>
          <w:rtl w:val="0"/>
        </w:rPr>
        <w:t xml:space="preserve">, contributing to </w:t>
      </w:r>
      <w:r w:rsidDel="00000000" w:rsidR="00000000" w:rsidRPr="00000000">
        <w:rPr>
          <w:b w:val="1"/>
          <w:highlight w:val="white"/>
          <w:rtl w:val="0"/>
        </w:rPr>
        <w:t xml:space="preserve">internal decision-making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client-facing clarity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Authored detailed </w:t>
      </w:r>
      <w:r w:rsidDel="00000000" w:rsidR="00000000" w:rsidRPr="00000000">
        <w:rPr>
          <w:b w:val="1"/>
          <w:highlight w:val="white"/>
          <w:rtl w:val="0"/>
        </w:rPr>
        <w:t xml:space="preserve">legal opinions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memoranda</w:t>
      </w:r>
      <w:r w:rsidDel="00000000" w:rsidR="00000000" w:rsidRPr="00000000">
        <w:rPr>
          <w:highlight w:val="white"/>
          <w:rtl w:val="0"/>
        </w:rPr>
        <w:t xml:space="preserve">, combining </w:t>
      </w:r>
      <w:r w:rsidDel="00000000" w:rsidR="00000000" w:rsidRPr="00000000">
        <w:rPr>
          <w:b w:val="1"/>
          <w:highlight w:val="white"/>
          <w:rtl w:val="0"/>
        </w:rPr>
        <w:t xml:space="preserve">legal accuracy</w:t>
      </w:r>
      <w:r w:rsidDel="00000000" w:rsidR="00000000" w:rsidRPr="00000000">
        <w:rPr>
          <w:highlight w:val="white"/>
          <w:rtl w:val="0"/>
        </w:rPr>
        <w:t xml:space="preserve"> with structured analysis tailored to </w:t>
      </w:r>
      <w:r w:rsidDel="00000000" w:rsidR="00000000" w:rsidRPr="00000000">
        <w:rPr>
          <w:b w:val="1"/>
          <w:highlight w:val="white"/>
          <w:rtl w:val="0"/>
        </w:rPr>
        <w:t xml:space="preserve">stakeholders’ needs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Collaborated closely with </w:t>
      </w:r>
      <w:r w:rsidDel="00000000" w:rsidR="00000000" w:rsidRPr="00000000">
        <w:rPr>
          <w:b w:val="1"/>
          <w:highlight w:val="white"/>
          <w:rtl w:val="0"/>
        </w:rPr>
        <w:t xml:space="preserve">internal teams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external counsel</w:t>
      </w:r>
      <w:r w:rsidDel="00000000" w:rsidR="00000000" w:rsidRPr="00000000">
        <w:rPr>
          <w:highlight w:val="white"/>
          <w:rtl w:val="0"/>
        </w:rPr>
        <w:t xml:space="preserve">, ensuring smooth </w:t>
      </w:r>
      <w:r w:rsidDel="00000000" w:rsidR="00000000" w:rsidRPr="00000000">
        <w:rPr>
          <w:b w:val="1"/>
          <w:highlight w:val="white"/>
          <w:rtl w:val="0"/>
        </w:rPr>
        <w:t xml:space="preserve">knowledge transfer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documentation flow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deadline management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2022 - 2024    </w:t>
      </w:r>
      <w:r w:rsidDel="00000000" w:rsidR="00000000" w:rsidRPr="00000000">
        <w:rPr>
          <w:b w:val="1"/>
          <w:highlight w:val="white"/>
          <w:rtl w:val="0"/>
        </w:rPr>
        <w:t xml:space="preserve">Associate</w:t>
      </w:r>
      <w:r w:rsidDel="00000000" w:rsidR="00000000" w:rsidRPr="00000000">
        <w:rPr>
          <w:highlight w:val="white"/>
          <w:rtl w:val="0"/>
        </w:rPr>
        <w:t xml:space="preserve">, Porat Rahimi Law Firm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Practiced across three core areas: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Commercial litigation</w:t>
      </w:r>
      <w:r w:rsidDel="00000000" w:rsidR="00000000" w:rsidRPr="00000000">
        <w:rPr>
          <w:highlight w:val="white"/>
          <w:rtl w:val="0"/>
        </w:rPr>
        <w:t xml:space="preserve"> – representation in commercial disputes, including applications for interim and declaratory relief.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Corporate and commercial law</w:t>
      </w:r>
      <w:r w:rsidDel="00000000" w:rsidR="00000000" w:rsidRPr="00000000">
        <w:rPr>
          <w:highlight w:val="white"/>
          <w:rtl w:val="0"/>
        </w:rPr>
        <w:t xml:space="preserve"> – drafting and negotiating agreements, and advising on corporate and transactional matters.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Compliance and enforcement</w:t>
      </w:r>
      <w:r w:rsidDel="00000000" w:rsidR="00000000" w:rsidRPr="00000000">
        <w:rPr>
          <w:highlight w:val="white"/>
          <w:rtl w:val="0"/>
        </w:rPr>
        <w:t xml:space="preserve"> – advising prominent institutional entities and fintech companies on regulatory obligations, conducting internal audits, developing enforcement and compliance programs, and preparing annual compliance plans.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Provided ongoing legal counsel to business-sector clients across a wide range of legal domains, including privacy, labor law, and consumer protection.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role also included drafting internal policies and procedures, such as data protection policies, cybersecurity incident response protocols, and privacy compliance frameworks.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Participated in board and management meetings, providing legal analysis and strategic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2020 - 2021   </w:t>
      </w:r>
      <w:r w:rsidDel="00000000" w:rsidR="00000000" w:rsidRPr="00000000">
        <w:rPr>
          <w:b w:val="1"/>
          <w:highlight w:val="white"/>
          <w:rtl w:val="0"/>
        </w:rPr>
        <w:t xml:space="preserve"> Legal Intern</w:t>
      </w:r>
      <w:r w:rsidDel="00000000" w:rsidR="00000000" w:rsidRPr="00000000">
        <w:rPr>
          <w:highlight w:val="white"/>
          <w:rtl w:val="0"/>
        </w:rPr>
        <w:t xml:space="preserve">, Harpaz, Oren Adler &amp; Co.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2014 - 2019    </w:t>
      </w:r>
      <w:r w:rsidDel="00000000" w:rsidR="00000000" w:rsidRPr="00000000">
        <w:rPr>
          <w:b w:val="1"/>
          <w:highlight w:val="white"/>
          <w:rtl w:val="0"/>
        </w:rPr>
        <w:t xml:space="preserve">Personal Assistant</w:t>
      </w:r>
      <w:r w:rsidDel="00000000" w:rsidR="00000000" w:rsidRPr="00000000">
        <w:rPr>
          <w:highlight w:val="white"/>
          <w:rtl w:val="0"/>
        </w:rPr>
        <w:t xml:space="preserve"> to Pini Zahavi, Gol International Ltd.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>
          <w:b w:val="1"/>
          <w:color w:val="1c4587"/>
          <w:sz w:val="26"/>
          <w:szCs w:val="26"/>
          <w:highlight w:val="white"/>
        </w:rPr>
      </w:pPr>
      <w:r w:rsidDel="00000000" w:rsidR="00000000" w:rsidRPr="00000000">
        <w:rPr>
          <w:b w:val="1"/>
          <w:color w:val="1c4587"/>
          <w:sz w:val="26"/>
          <w:szCs w:val="26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    Business English Course, Burlington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>
          <w:b w:val="1"/>
          <w:color w:val="1c4587"/>
          <w:sz w:val="26"/>
          <w:szCs w:val="26"/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2017 - 2019    LL.B. in Law, The College of Management, Academic Studies, Rishon LeZion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>
          <w:b w:val="1"/>
          <w:color w:val="1c4587"/>
          <w:sz w:val="26"/>
          <w:szCs w:val="26"/>
          <w:highlight w:val="white"/>
        </w:rPr>
      </w:pPr>
      <w:r w:rsidDel="00000000" w:rsidR="00000000" w:rsidRPr="00000000">
        <w:rPr>
          <w:b w:val="1"/>
          <w:color w:val="1c4587"/>
          <w:sz w:val="26"/>
          <w:szCs w:val="26"/>
          <w:highlight w:val="white"/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Hebrew - native    |    English - fluent</w:t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566.9291338582677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lifaasaf8@gmail.com" TargetMode="External"/><Relationship Id="rId7" Type="http://schemas.openxmlformats.org/officeDocument/2006/relationships/hyperlink" Target="http://www.linkedin.com/in/asaf-kali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