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0"/>
      </w:pPr>
    </w:p>
    <w:p>
      <w:pPr>
        <w:jc w:val="center"/>
      </w:pPr>
      <w:r>
        <w:rPr>
          <w:b/>
          <w:color w:val="1F4D78"/>
          <w:sz w:val="24"/>
        </w:rPr>
        <w:t>MONGOLIA CIRCULAR BATTERY INITIATIVE</w:t>
      </w:r>
    </w:p>
    <w:p>
      <w:pPr>
        <w:pStyle w:val="Title"/>
        <w:jc w:val="center"/>
      </w:pPr>
      <w:r>
        <w:t>BATTERY DIAGNOSTICS, TESTING, AND</w:t>
        <w:br/>
        <w:t>CRITICAL MINERALS RECOVERY</w:t>
        <w:br/>
        <w:t>RESEARCH CENTER PROJECT</w:t>
      </w:r>
    </w:p>
    <w:p>
      <w:pPr>
        <w:pStyle w:val="Subtitle"/>
        <w:jc w:val="center"/>
      </w:pPr>
      <w:r>
        <w:t>Building the foundation for a safe, traceable, circular battery system in Mongolia</w:t>
      </w:r>
    </w:p>
    <w:p>
      <w:pPr>
        <w:spacing w:after="600"/>
      </w:pPr>
    </w:p>
    <w:tbl>
      <w:tblPr>
        <w:tblStyle w:val="TableGrid"/>
        <w:tblW w:type="dxa" w:w="9360"/>
        <w:jc w:val="center"/>
        <w:tblLayout w:type="fixed"/>
        <w:tblLook w:firstColumn="1" w:firstRow="1" w:lastColumn="0" w:lastRow="0" w:noHBand="0" w:noVBand="1" w:val="04A0"/>
        <w:tblInd w:w="120" w:type="dxa"/>
      </w:tblPr>
      <w:tblGrid>
        <w:gridCol w:w="2300"/>
        <w:gridCol w:w="7060"/>
      </w:tblGrid>
      <w:tr>
        <w:trPr>
          <w:tblHeader w:val="true"/>
          <w:cantSplit/>
        </w:trPr>
        <w:tc>
          <w:tcPr>
            <w:tcW w:type="dxa" w:w="2300"/>
            <w:tcMar>
              <w:top w:w="80" w:type="dxa"/>
              <w:start w:w="120" w:type="dxa"/>
              <w:bottom w:w="80" w:type="dxa"/>
              <w:end w:w="120" w:type="dxa"/>
            </w:tcMar>
            <w:vAlign w:val="center"/>
          </w:tcPr>
          <w:p>
            <w:pPr>
              <w:spacing w:after="40" w:line="252" w:lineRule="auto"/>
            </w:pPr>
            <w:r>
              <w:rPr>
                <w:sz w:val="19"/>
              </w:rPr>
              <w:t>Project initiator</w:t>
            </w:r>
          </w:p>
        </w:tc>
        <w:tc>
          <w:tcPr>
            <w:tcW w:type="dxa" w:w="7060"/>
            <w:tcMar>
              <w:top w:w="80" w:type="dxa"/>
              <w:start w:w="120" w:type="dxa"/>
              <w:bottom w:w="80" w:type="dxa"/>
              <w:end w:w="120" w:type="dxa"/>
            </w:tcMar>
            <w:vAlign w:val="center"/>
          </w:tcPr>
          <w:p>
            <w:pPr>
              <w:spacing w:after="40" w:line="252" w:lineRule="auto"/>
            </w:pPr>
            <w:r>
              <w:rPr>
                <w:sz w:val="19"/>
              </w:rPr>
              <w:t>Mongolia Circular Battery Initiative (MCBI)</w:t>
            </w:r>
          </w:p>
        </w:tc>
      </w:tr>
      <w:tr>
        <w:trPr>
          <w:cantSplit/>
        </w:trPr>
        <w:tc>
          <w:tcPr>
            <w:tcW w:type="dxa" w:w="2300"/>
            <w:tcMar>
              <w:top w:w="80" w:type="dxa"/>
              <w:start w:w="120" w:type="dxa"/>
              <w:bottom w:w="80" w:type="dxa"/>
              <w:end w:w="120" w:type="dxa"/>
            </w:tcMar>
            <w:vAlign w:val="center"/>
          </w:tcPr>
          <w:p>
            <w:pPr>
              <w:spacing w:after="40" w:line="252" w:lineRule="auto"/>
            </w:pPr>
            <w:r>
              <w:rPr>
                <w:sz w:val="19"/>
              </w:rPr>
              <w:t>Project lead</w:t>
            </w:r>
          </w:p>
        </w:tc>
        <w:tc>
          <w:tcPr>
            <w:tcW w:type="dxa" w:w="7060"/>
            <w:tcMar>
              <w:top w:w="80" w:type="dxa"/>
              <w:start w:w="120" w:type="dxa"/>
              <w:bottom w:w="80" w:type="dxa"/>
              <w:end w:w="120" w:type="dxa"/>
            </w:tcMar>
            <w:vAlign w:val="center"/>
          </w:tcPr>
          <w:p>
            <w:pPr>
              <w:spacing w:after="40" w:line="252" w:lineRule="auto"/>
            </w:pPr>
            <w:r>
              <w:rPr>
                <w:sz w:val="19"/>
              </w:rPr>
              <w:t>Enkhtsetseg Shirendev, Founder and CEO</w:t>
            </w:r>
          </w:p>
        </w:tc>
      </w:tr>
      <w:tr>
        <w:trPr>
          <w:cantSplit/>
        </w:trPr>
        <w:tc>
          <w:tcPr>
            <w:tcW w:type="dxa" w:w="2300"/>
            <w:tcMar>
              <w:top w:w="80" w:type="dxa"/>
              <w:start w:w="120" w:type="dxa"/>
              <w:bottom w:w="80" w:type="dxa"/>
              <w:end w:w="120" w:type="dxa"/>
            </w:tcMar>
            <w:vAlign w:val="center"/>
            <w:shd w:fill="F8FAFC"/>
          </w:tcPr>
          <w:p>
            <w:pPr>
              <w:spacing w:after="40" w:line="252" w:lineRule="auto"/>
            </w:pPr>
            <w:r>
              <w:rPr>
                <w:sz w:val="19"/>
              </w:rPr>
              <w:t>Implementation site</w:t>
            </w:r>
          </w:p>
        </w:tc>
        <w:tc>
          <w:tcPr>
            <w:tcW w:type="dxa" w:w="7060"/>
            <w:tcMar>
              <w:top w:w="80" w:type="dxa"/>
              <w:start w:w="120" w:type="dxa"/>
              <w:bottom w:w="80" w:type="dxa"/>
              <w:end w:w="120" w:type="dxa"/>
            </w:tcMar>
            <w:vAlign w:val="center"/>
            <w:shd w:fill="F8FAFC"/>
          </w:tcPr>
          <w:p>
            <w:pPr>
              <w:spacing w:after="40" w:line="252" w:lineRule="auto"/>
            </w:pPr>
            <w:r>
              <w:rPr>
                <w:sz w:val="19"/>
              </w:rPr>
              <w:t>Mongolia — site to be selected based on technical and safety assessment</w:t>
            </w:r>
          </w:p>
        </w:tc>
      </w:tr>
      <w:tr>
        <w:trPr>
          <w:cantSplit/>
        </w:trPr>
        <w:tc>
          <w:tcPr>
            <w:tcW w:type="dxa" w:w="2300"/>
            <w:tcMar>
              <w:top w:w="80" w:type="dxa"/>
              <w:start w:w="120" w:type="dxa"/>
              <w:bottom w:w="80" w:type="dxa"/>
              <w:end w:w="120" w:type="dxa"/>
            </w:tcMar>
            <w:vAlign w:val="center"/>
          </w:tcPr>
          <w:p>
            <w:pPr>
              <w:spacing w:after="40" w:line="252" w:lineRule="auto"/>
            </w:pPr>
            <w:r>
              <w:rPr>
                <w:sz w:val="19"/>
              </w:rPr>
              <w:t>Duration</w:t>
            </w:r>
          </w:p>
        </w:tc>
        <w:tc>
          <w:tcPr>
            <w:tcW w:type="dxa" w:w="7060"/>
            <w:tcMar>
              <w:top w:w="80" w:type="dxa"/>
              <w:start w:w="120" w:type="dxa"/>
              <w:bottom w:w="80" w:type="dxa"/>
              <w:end w:w="120" w:type="dxa"/>
            </w:tcMar>
            <w:vAlign w:val="center"/>
          </w:tcPr>
          <w:p>
            <w:pPr>
              <w:spacing w:after="40" w:line="252" w:lineRule="auto"/>
            </w:pPr>
            <w:r>
              <w:rPr>
                <w:sz w:val="19"/>
              </w:rPr>
              <w:t>18 months (preparation, pilot operations, evaluation)</w:t>
            </w:r>
          </w:p>
        </w:tc>
      </w:tr>
      <w:tr>
        <w:trPr>
          <w:cantSplit/>
        </w:trPr>
        <w:tc>
          <w:tcPr>
            <w:tcW w:type="dxa" w:w="2300"/>
            <w:tcMar>
              <w:top w:w="80" w:type="dxa"/>
              <w:start w:w="120" w:type="dxa"/>
              <w:bottom w:w="80" w:type="dxa"/>
              <w:end w:w="120" w:type="dxa"/>
            </w:tcMar>
            <w:vAlign w:val="center"/>
            <w:shd w:fill="F8FAFC"/>
          </w:tcPr>
          <w:p>
            <w:pPr>
              <w:spacing w:after="40" w:line="252" w:lineRule="auto"/>
            </w:pPr>
            <w:r>
              <w:rPr>
                <w:sz w:val="19"/>
              </w:rPr>
              <w:t>Document status</w:t>
            </w:r>
          </w:p>
        </w:tc>
        <w:tc>
          <w:tcPr>
            <w:tcW w:type="dxa" w:w="7060"/>
            <w:tcMar>
              <w:top w:w="80" w:type="dxa"/>
              <w:start w:w="120" w:type="dxa"/>
              <w:bottom w:w="80" w:type="dxa"/>
              <w:end w:w="120" w:type="dxa"/>
            </w:tcMar>
            <w:vAlign w:val="center"/>
            <w:shd w:fill="F8FAFC"/>
          </w:tcPr>
          <w:p>
            <w:pPr>
              <w:spacing w:after="40" w:line="252" w:lineRule="auto"/>
            </w:pPr>
            <w:r>
              <w:rPr>
                <w:sz w:val="19"/>
              </w:rPr>
              <w:t>Proposal for partnership, funding, and technical discussion</w:t>
            </w:r>
          </w:p>
        </w:tc>
      </w:tr>
      <w:tr>
        <w:trPr>
          <w:cantSplit/>
        </w:trPr>
        <w:tc>
          <w:tcPr>
            <w:tcW w:type="dxa" w:w="2300"/>
            <w:tcMar>
              <w:top w:w="80" w:type="dxa"/>
              <w:start w:w="120" w:type="dxa"/>
              <w:bottom w:w="80" w:type="dxa"/>
              <w:end w:w="120" w:type="dxa"/>
            </w:tcMar>
            <w:vAlign w:val="center"/>
          </w:tcPr>
          <w:p>
            <w:pPr>
              <w:spacing w:after="40" w:line="252" w:lineRule="auto"/>
            </w:pPr>
            <w:r>
              <w:rPr>
                <w:sz w:val="19"/>
              </w:rPr>
              <w:t>Date</w:t>
            </w:r>
          </w:p>
        </w:tc>
        <w:tc>
          <w:tcPr>
            <w:tcW w:type="dxa" w:w="7060"/>
            <w:tcMar>
              <w:top w:w="80" w:type="dxa"/>
              <w:start w:w="120" w:type="dxa"/>
              <w:bottom w:w="80" w:type="dxa"/>
              <w:end w:w="120" w:type="dxa"/>
            </w:tcMar>
            <w:vAlign w:val="center"/>
          </w:tcPr>
          <w:p>
            <w:pPr>
              <w:spacing w:after="40" w:line="252" w:lineRule="auto"/>
            </w:pPr>
            <w:r>
              <w:rPr>
                <w:sz w:val="19"/>
              </w:rPr>
              <w:t>August 2026</w:t>
            </w:r>
          </w:p>
        </w:tc>
      </w:tr>
    </w:tbl>
    <w:p>
      <w:pPr>
        <w:spacing w:after="20"/>
      </w:pPr>
    </w:p>
    <w:tbl>
      <w:tblPr>
        <w:tblW w:type="auto" w:w="0"/>
        <w:jc w:val="center"/>
        <w:tblLayout w:type="fixed"/>
        <w:tblLook w:firstColumn="1" w:firstRow="1" w:lastColumn="0" w:lastRow="0" w:noHBand="0" w:noVBand="1" w:val="04A0"/>
      </w:tblPr>
      <w:tblGrid>
        <w:gridCol w:w="9360"/>
      </w:tblGrid>
      <w:tr>
        <w:trPr>
          <w:tblHeader w:val="true"/>
          <w:cantSplit/>
        </w:trPr>
        <w:tc>
          <w:tcPr>
            <w:tcW w:type="dxa" w:w="9360"/>
            <w:tcMar>
              <w:top w:w="160" w:type="dxa"/>
              <w:start w:w="180" w:type="dxa"/>
              <w:bottom w:w="160" w:type="dxa"/>
              <w:end w:w="180" w:type="dxa"/>
            </w:tcMar>
            <w:shd w:fill="EAF2F8"/>
          </w:tcPr>
          <w:p>
            <w:pPr>
              <w:spacing w:after="0"/>
            </w:pPr>
            <w:r>
              <w:rPr>
                <w:b/>
                <w:color w:val="1F4D78"/>
              </w:rPr>
              <w:t xml:space="preserve">Important note: </w:t>
            </w:r>
            <w:r>
              <w:t>This project does not establish a metal-extraction plant at this stage. It builds pilot capacity for collection, safe storage, diagnostics, sorting and classification, data recording, and standard operating procedures.</w:t>
            </w:r>
          </w:p>
        </w:tc>
      </w:tr>
    </w:tbl>
    <w:p>
      <w:pPr>
        <w:spacing w:after="20"/>
      </w:pPr>
    </w:p>
    <w:p>
      <w:r>
        <w:br w:type="page"/>
      </w:r>
    </w:p>
    <w:p>
      <w:pPr>
        <w:pStyle w:val="Title"/>
      </w:pPr>
      <w:r>
        <w:t>PROJECT SUMMARY</w:t>
      </w:r>
    </w:p>
    <w:tbl>
      <w:tblPr>
        <w:tblStyle w:val="TableGrid"/>
        <w:tblW w:type="dxa" w:w="9360"/>
        <w:jc w:val="center"/>
        <w:tblLayout w:type="fixed"/>
        <w:tblLook w:firstColumn="1" w:firstRow="1" w:lastColumn="0" w:lastRow="0" w:noHBand="0" w:noVBand="1" w:val="04A0"/>
        <w:tblInd w:w="120" w:type="dxa"/>
      </w:tblPr>
      <w:tblGrid>
        <w:gridCol w:w="2100"/>
        <w:gridCol w:w="7260"/>
      </w:tblGrid>
      <w:tr>
        <w:trPr>
          <w:tblHeader w:val="true"/>
          <w:cantSplit/>
        </w:trPr>
        <w:tc>
          <w:tcPr>
            <w:tcW w:type="dxa" w:w="2100"/>
            <w:tcMar>
              <w:top w:w="80" w:type="dxa"/>
              <w:start w:w="120" w:type="dxa"/>
              <w:bottom w:w="80" w:type="dxa"/>
              <w:end w:w="120" w:type="dxa"/>
            </w:tcMar>
            <w:vAlign w:val="center"/>
            <w:shd w:fill="1F4D78"/>
          </w:tcPr>
          <w:p>
            <w:pPr>
              <w:spacing w:after="40" w:line="252" w:lineRule="auto"/>
            </w:pPr>
            <w:r>
              <w:rPr>
                <w:b/>
                <w:color w:val="FFFFFF"/>
                <w:sz w:val="19"/>
              </w:rPr>
              <w:t>Indicator</w:t>
            </w:r>
          </w:p>
        </w:tc>
        <w:tc>
          <w:tcPr>
            <w:tcW w:type="dxa" w:w="7260"/>
            <w:tcMar>
              <w:top w:w="80" w:type="dxa"/>
              <w:start w:w="120" w:type="dxa"/>
              <w:bottom w:w="80" w:type="dxa"/>
              <w:end w:w="120" w:type="dxa"/>
            </w:tcMar>
            <w:vAlign w:val="center"/>
            <w:shd w:fill="1F4D78"/>
          </w:tcPr>
          <w:p>
            <w:pPr>
              <w:spacing w:after="40" w:line="252" w:lineRule="auto"/>
            </w:pPr>
            <w:r>
              <w:rPr>
                <w:b/>
                <w:color w:val="FFFFFF"/>
                <w:sz w:val="19"/>
              </w:rPr>
              <w:t>Description</w:t>
            </w:r>
          </w:p>
        </w:tc>
      </w:tr>
      <w:tr>
        <w:trPr>
          <w:cantSplit/>
        </w:trPr>
        <w:tc>
          <w:tcPr>
            <w:tcW w:type="dxa" w:w="2100"/>
            <w:tcMar>
              <w:top w:w="80" w:type="dxa"/>
              <w:start w:w="120" w:type="dxa"/>
              <w:bottom w:w="80" w:type="dxa"/>
              <w:end w:w="120" w:type="dxa"/>
            </w:tcMar>
            <w:vAlign w:val="center"/>
          </w:tcPr>
          <w:p>
            <w:pPr>
              <w:spacing w:after="40" w:line="252" w:lineRule="auto"/>
            </w:pPr>
            <w:r>
              <w:rPr>
                <w:sz w:val="19"/>
              </w:rPr>
              <w:t>Project name</w:t>
            </w:r>
          </w:p>
        </w:tc>
        <w:tc>
          <w:tcPr>
            <w:tcW w:type="dxa" w:w="7260"/>
            <w:tcMar>
              <w:top w:w="80" w:type="dxa"/>
              <w:start w:w="120" w:type="dxa"/>
              <w:bottom w:w="80" w:type="dxa"/>
              <w:end w:w="120" w:type="dxa"/>
            </w:tcMar>
            <w:vAlign w:val="center"/>
          </w:tcPr>
          <w:p>
            <w:pPr>
              <w:spacing w:after="40" w:line="252" w:lineRule="auto"/>
            </w:pPr>
            <w:r>
              <w:rPr>
                <w:sz w:val="19"/>
              </w:rPr>
              <w:t>Establishment of a battery diagnostics, testing, and critical minerals recovery research center</w:t>
            </w:r>
          </w:p>
        </w:tc>
      </w:tr>
      <w:tr>
        <w:trPr>
          <w:cantSplit/>
        </w:trPr>
        <w:tc>
          <w:tcPr>
            <w:tcW w:type="dxa" w:w="2100"/>
            <w:tcMar>
              <w:top w:w="80" w:type="dxa"/>
              <w:start w:w="120" w:type="dxa"/>
              <w:bottom w:w="80" w:type="dxa"/>
              <w:end w:w="120" w:type="dxa"/>
            </w:tcMar>
            <w:vAlign w:val="center"/>
            <w:shd w:fill="F8FAFC"/>
          </w:tcPr>
          <w:p>
            <w:pPr>
              <w:spacing w:after="40" w:line="252" w:lineRule="auto"/>
            </w:pPr>
            <w:r>
              <w:rPr>
                <w:sz w:val="19"/>
              </w:rPr>
              <w:t>Sector</w:t>
            </w:r>
          </w:p>
        </w:tc>
        <w:tc>
          <w:tcPr>
            <w:tcW w:type="dxa" w:w="7260"/>
            <w:tcMar>
              <w:top w:w="80" w:type="dxa"/>
              <w:start w:w="120" w:type="dxa"/>
              <w:bottom w:w="80" w:type="dxa"/>
              <w:end w:w="120" w:type="dxa"/>
            </w:tcMar>
            <w:vAlign w:val="center"/>
            <w:shd w:fill="F8FAFC"/>
          </w:tcPr>
          <w:p>
            <w:pPr>
              <w:spacing w:after="40" w:line="252" w:lineRule="auto"/>
            </w:pPr>
            <w:r>
              <w:rPr>
                <w:sz w:val="19"/>
              </w:rPr>
              <w:t>Hazardous waste management, circular economy, green technology</w:t>
            </w:r>
          </w:p>
        </w:tc>
      </w:tr>
      <w:tr>
        <w:trPr>
          <w:cantSplit/>
        </w:trPr>
        <w:tc>
          <w:tcPr>
            <w:tcW w:type="dxa" w:w="2100"/>
            <w:tcMar>
              <w:top w:w="80" w:type="dxa"/>
              <w:start w:w="120" w:type="dxa"/>
              <w:bottom w:w="80" w:type="dxa"/>
              <w:end w:w="120" w:type="dxa"/>
            </w:tcMar>
            <w:vAlign w:val="center"/>
          </w:tcPr>
          <w:p>
            <w:pPr>
              <w:spacing w:after="40" w:line="252" w:lineRule="auto"/>
            </w:pPr>
            <w:r>
              <w:rPr>
                <w:sz w:val="19"/>
              </w:rPr>
              <w:t>Overall goal</w:t>
            </w:r>
          </w:p>
        </w:tc>
        <w:tc>
          <w:tcPr>
            <w:tcW w:type="dxa" w:w="7260"/>
            <w:tcMar>
              <w:top w:w="80" w:type="dxa"/>
              <w:start w:w="120" w:type="dxa"/>
              <w:bottom w:w="80" w:type="dxa"/>
              <w:end w:w="120" w:type="dxa"/>
            </w:tcMar>
            <w:vAlign w:val="center"/>
          </w:tcPr>
          <w:p>
            <w:pPr>
              <w:spacing w:after="40" w:line="252" w:lineRule="auto"/>
            </w:pPr>
            <w:r>
              <w:rPr>
                <w:sz w:val="19"/>
              </w:rPr>
              <w:t>Establish the practical foundation of a national system for safely collecting, diagnosing, classifying, and tracing batteries</w:t>
            </w:r>
          </w:p>
        </w:tc>
      </w:tr>
      <w:tr>
        <w:trPr>
          <w:cantSplit/>
        </w:trPr>
        <w:tc>
          <w:tcPr>
            <w:tcW w:type="dxa" w:w="2100"/>
            <w:tcMar>
              <w:top w:w="80" w:type="dxa"/>
              <w:start w:w="120" w:type="dxa"/>
              <w:bottom w:w="80" w:type="dxa"/>
              <w:end w:w="120" w:type="dxa"/>
            </w:tcMar>
            <w:vAlign w:val="center"/>
            <w:shd w:fill="F8FAFC"/>
          </w:tcPr>
          <w:p>
            <w:pPr>
              <w:spacing w:after="40" w:line="252" w:lineRule="auto"/>
            </w:pPr>
            <w:r>
              <w:rPr>
                <w:sz w:val="19"/>
              </w:rPr>
              <w:t>Direct beneficiaries</w:t>
            </w:r>
          </w:p>
        </w:tc>
        <w:tc>
          <w:tcPr>
            <w:tcW w:type="dxa" w:w="7260"/>
            <w:tcMar>
              <w:top w:w="80" w:type="dxa"/>
              <w:start w:w="120" w:type="dxa"/>
              <w:bottom w:w="80" w:type="dxa"/>
              <w:end w:w="120" w:type="dxa"/>
            </w:tcMar>
            <w:vAlign w:val="center"/>
            <w:shd w:fill="F8FAFC"/>
          </w:tcPr>
          <w:p>
            <w:pPr>
              <w:spacing w:after="40" w:line="252" w:lineRule="auto"/>
            </w:pPr>
            <w:r>
              <w:rPr>
                <w:sz w:val="19"/>
              </w:rPr>
              <w:t>Citizens, importers, repair/service providers, waste operators, government agencies, research and educational institutions</w:t>
            </w:r>
          </w:p>
        </w:tc>
      </w:tr>
      <w:tr>
        <w:trPr>
          <w:cantSplit/>
        </w:trPr>
        <w:tc>
          <w:tcPr>
            <w:tcW w:type="dxa" w:w="2100"/>
            <w:tcMar>
              <w:top w:w="80" w:type="dxa"/>
              <w:start w:w="120" w:type="dxa"/>
              <w:bottom w:w="80" w:type="dxa"/>
              <w:end w:w="120" w:type="dxa"/>
            </w:tcMar>
            <w:vAlign w:val="center"/>
          </w:tcPr>
          <w:p>
            <w:pPr>
              <w:spacing w:after="40" w:line="252" w:lineRule="auto"/>
            </w:pPr>
            <w:r>
              <w:rPr>
                <w:sz w:val="19"/>
              </w:rPr>
              <w:t>Key deliverables</w:t>
            </w:r>
          </w:p>
        </w:tc>
        <w:tc>
          <w:tcPr>
            <w:tcW w:type="dxa" w:w="7260"/>
            <w:tcMar>
              <w:top w:w="80" w:type="dxa"/>
              <w:start w:w="120" w:type="dxa"/>
              <w:bottom w:w="80" w:type="dxa"/>
              <w:end w:w="120" w:type="dxa"/>
            </w:tcMar>
            <w:vAlign w:val="center"/>
          </w:tcPr>
          <w:p>
            <w:pPr>
              <w:spacing w:after="40" w:line="252" w:lineRule="auto"/>
            </w:pPr>
            <w:r>
              <w:rPr>
                <w:sz w:val="19"/>
              </w:rPr>
              <w:t>Pilot center; SOPs; digital records; pilot collection network; training; data; policy recommendations</w:t>
            </w:r>
          </w:p>
        </w:tc>
      </w:tr>
      <w:tr>
        <w:trPr>
          <w:cantSplit/>
        </w:trPr>
        <w:tc>
          <w:tcPr>
            <w:tcW w:type="dxa" w:w="2100"/>
            <w:tcMar>
              <w:top w:w="80" w:type="dxa"/>
              <w:start w:w="120" w:type="dxa"/>
              <w:bottom w:w="80" w:type="dxa"/>
              <w:end w:w="120" w:type="dxa"/>
            </w:tcMar>
            <w:vAlign w:val="center"/>
            <w:shd w:fill="F8FAFC"/>
          </w:tcPr>
          <w:p>
            <w:pPr>
              <w:spacing w:after="40" w:line="252" w:lineRule="auto"/>
            </w:pPr>
            <w:r>
              <w:rPr>
                <w:sz w:val="19"/>
              </w:rPr>
              <w:t>Duration</w:t>
            </w:r>
          </w:p>
        </w:tc>
        <w:tc>
          <w:tcPr>
            <w:tcW w:type="dxa" w:w="7260"/>
            <w:tcMar>
              <w:top w:w="80" w:type="dxa"/>
              <w:start w:w="120" w:type="dxa"/>
              <w:bottom w:w="80" w:type="dxa"/>
              <w:end w:w="120" w:type="dxa"/>
            </w:tcMar>
            <w:vAlign w:val="center"/>
            <w:shd w:fill="F8FAFC"/>
          </w:tcPr>
          <w:p>
            <w:pPr>
              <w:spacing w:after="40" w:line="252" w:lineRule="auto"/>
            </w:pPr>
            <w:r>
              <w:rPr>
                <w:sz w:val="19"/>
              </w:rPr>
              <w:t>18 months</w:t>
            </w:r>
          </w:p>
        </w:tc>
      </w:tr>
      <w:tr>
        <w:trPr>
          <w:cantSplit/>
        </w:trPr>
        <w:tc>
          <w:tcPr>
            <w:tcW w:type="dxa" w:w="2100"/>
            <w:tcMar>
              <w:top w:w="80" w:type="dxa"/>
              <w:start w:w="120" w:type="dxa"/>
              <w:bottom w:w="80" w:type="dxa"/>
              <w:end w:w="120" w:type="dxa"/>
            </w:tcMar>
            <w:vAlign w:val="center"/>
          </w:tcPr>
          <w:p>
            <w:pPr>
              <w:spacing w:after="40" w:line="252" w:lineRule="auto"/>
            </w:pPr>
            <w:r>
              <w:rPr>
                <w:sz w:val="19"/>
              </w:rPr>
              <w:t>Funding form</w:t>
            </w:r>
          </w:p>
        </w:tc>
        <w:tc>
          <w:tcPr>
            <w:tcW w:type="dxa" w:w="7260"/>
            <w:tcMar>
              <w:top w:w="80" w:type="dxa"/>
              <w:start w:w="120" w:type="dxa"/>
              <w:bottom w:w="80" w:type="dxa"/>
              <w:end w:w="120" w:type="dxa"/>
            </w:tcMar>
            <w:vAlign w:val="center"/>
          </w:tcPr>
          <w:p>
            <w:pPr>
              <w:spacing w:after="40" w:line="252" w:lineRule="auto"/>
            </w:pPr>
            <w:r>
              <w:rPr>
                <w:sz w:val="19"/>
              </w:rPr>
              <w:t>Grants, public-private partnership, industry participation, equipment and technical support</w:t>
            </w:r>
          </w:p>
        </w:tc>
      </w:tr>
    </w:tbl>
    <w:p>
      <w:pPr>
        <w:spacing w:after="20"/>
      </w:pPr>
    </w:p>
    <w:p>
      <w:pPr>
        <w:pStyle w:val="Heading1"/>
      </w:pPr>
      <w:r>
        <w:t>Abbreviations</w:t>
      </w:r>
    </w:p>
    <w:tbl>
      <w:tblPr>
        <w:tblStyle w:val="TableGrid"/>
        <w:tblW w:type="dxa" w:w="9360"/>
        <w:jc w:val="center"/>
        <w:tblLayout w:type="fixed"/>
        <w:tblLook w:firstColumn="1" w:firstRow="1" w:lastColumn="0" w:lastRow="0" w:noHBand="0" w:noVBand="1" w:val="04A0"/>
        <w:tblInd w:w="120" w:type="dxa"/>
      </w:tblPr>
      <w:tblGrid>
        <w:gridCol w:w="1800"/>
        <w:gridCol w:w="7560"/>
      </w:tblGrid>
      <w:tr>
        <w:trPr>
          <w:tblHeader w:val="true"/>
          <w:cantSplit/>
        </w:trPr>
        <w:tc>
          <w:tcPr>
            <w:tcW w:type="dxa" w:w="1800"/>
            <w:tcMar>
              <w:top w:w="80" w:type="dxa"/>
              <w:start w:w="120" w:type="dxa"/>
              <w:bottom w:w="80" w:type="dxa"/>
              <w:end w:w="120" w:type="dxa"/>
            </w:tcMar>
            <w:vAlign w:val="center"/>
            <w:shd w:fill="1F4D78"/>
          </w:tcPr>
          <w:p>
            <w:pPr>
              <w:spacing w:after="40" w:line="252" w:lineRule="auto"/>
            </w:pPr>
            <w:r>
              <w:rPr>
                <w:b/>
                <w:color w:val="FFFFFF"/>
                <w:sz w:val="19"/>
              </w:rPr>
              <w:t>Abbreviation</w:t>
            </w:r>
          </w:p>
        </w:tc>
        <w:tc>
          <w:tcPr>
            <w:tcW w:type="dxa" w:w="7560"/>
            <w:tcMar>
              <w:top w:w="80" w:type="dxa"/>
              <w:start w:w="120" w:type="dxa"/>
              <w:bottom w:w="80" w:type="dxa"/>
              <w:end w:w="120" w:type="dxa"/>
            </w:tcMar>
            <w:vAlign w:val="center"/>
            <w:shd w:fill="1F4D78"/>
          </w:tcPr>
          <w:p>
            <w:pPr>
              <w:spacing w:after="40" w:line="252" w:lineRule="auto"/>
            </w:pPr>
            <w:r>
              <w:rPr>
                <w:b/>
                <w:color w:val="FFFFFF"/>
                <w:sz w:val="19"/>
              </w:rPr>
              <w:t>Meaning</w:t>
            </w:r>
          </w:p>
        </w:tc>
      </w:tr>
      <w:tr>
        <w:trPr>
          <w:cantSplit/>
        </w:trPr>
        <w:tc>
          <w:tcPr>
            <w:tcW w:type="dxa" w:w="1800"/>
            <w:tcMar>
              <w:top w:w="80" w:type="dxa"/>
              <w:start w:w="120" w:type="dxa"/>
              <w:bottom w:w="80" w:type="dxa"/>
              <w:end w:w="120" w:type="dxa"/>
            </w:tcMar>
            <w:vAlign w:val="center"/>
          </w:tcPr>
          <w:p>
            <w:pPr>
              <w:spacing w:after="40" w:line="252" w:lineRule="auto"/>
            </w:pPr>
            <w:r>
              <w:rPr>
                <w:sz w:val="19"/>
              </w:rPr>
              <w:t>MCBI</w:t>
            </w:r>
          </w:p>
        </w:tc>
        <w:tc>
          <w:tcPr>
            <w:tcW w:type="dxa" w:w="7560"/>
            <w:tcMar>
              <w:top w:w="80" w:type="dxa"/>
              <w:start w:w="120" w:type="dxa"/>
              <w:bottom w:w="80" w:type="dxa"/>
              <w:end w:w="120" w:type="dxa"/>
            </w:tcMar>
            <w:vAlign w:val="center"/>
          </w:tcPr>
          <w:p>
            <w:pPr>
              <w:spacing w:after="40" w:line="252" w:lineRule="auto"/>
            </w:pPr>
            <w:r>
              <w:rPr>
                <w:sz w:val="19"/>
              </w:rPr>
              <w:t>Mongolia Circular Battery Initiative</w:t>
            </w:r>
          </w:p>
        </w:tc>
      </w:tr>
      <w:tr>
        <w:trPr>
          <w:cantSplit/>
        </w:trPr>
        <w:tc>
          <w:tcPr>
            <w:tcW w:type="dxa" w:w="1800"/>
            <w:tcMar>
              <w:top w:w="80" w:type="dxa"/>
              <w:start w:w="120" w:type="dxa"/>
              <w:bottom w:w="80" w:type="dxa"/>
              <w:end w:w="120" w:type="dxa"/>
            </w:tcMar>
            <w:vAlign w:val="center"/>
            <w:shd w:fill="F8FAFC"/>
          </w:tcPr>
          <w:p>
            <w:pPr>
              <w:spacing w:after="40" w:line="252" w:lineRule="auto"/>
            </w:pPr>
            <w:r>
              <w:rPr>
                <w:sz w:val="19"/>
              </w:rPr>
              <w:t>EPR</w:t>
            </w:r>
          </w:p>
        </w:tc>
        <w:tc>
          <w:tcPr>
            <w:tcW w:type="dxa" w:w="7560"/>
            <w:tcMar>
              <w:top w:w="80" w:type="dxa"/>
              <w:start w:w="120" w:type="dxa"/>
              <w:bottom w:w="80" w:type="dxa"/>
              <w:end w:w="120" w:type="dxa"/>
            </w:tcMar>
            <w:vAlign w:val="center"/>
            <w:shd w:fill="F8FAFC"/>
          </w:tcPr>
          <w:p>
            <w:pPr>
              <w:spacing w:after="40" w:line="252" w:lineRule="auto"/>
            </w:pPr>
            <w:r>
              <w:rPr>
                <w:sz w:val="19"/>
              </w:rPr>
              <w:t>Extended Producer Responsibility</w:t>
            </w:r>
          </w:p>
        </w:tc>
      </w:tr>
      <w:tr>
        <w:trPr>
          <w:cantSplit/>
        </w:trPr>
        <w:tc>
          <w:tcPr>
            <w:tcW w:type="dxa" w:w="1800"/>
            <w:tcMar>
              <w:top w:w="80" w:type="dxa"/>
              <w:start w:w="120" w:type="dxa"/>
              <w:bottom w:w="80" w:type="dxa"/>
              <w:end w:w="120" w:type="dxa"/>
            </w:tcMar>
            <w:vAlign w:val="center"/>
          </w:tcPr>
          <w:p>
            <w:pPr>
              <w:spacing w:after="40" w:line="252" w:lineRule="auto"/>
            </w:pPr>
            <w:r>
              <w:rPr>
                <w:sz w:val="19"/>
              </w:rPr>
              <w:t>SOH</w:t>
            </w:r>
          </w:p>
        </w:tc>
        <w:tc>
          <w:tcPr>
            <w:tcW w:type="dxa" w:w="7560"/>
            <w:tcMar>
              <w:top w:w="80" w:type="dxa"/>
              <w:start w:w="120" w:type="dxa"/>
              <w:bottom w:w="80" w:type="dxa"/>
              <w:end w:w="120" w:type="dxa"/>
            </w:tcMar>
            <w:vAlign w:val="center"/>
          </w:tcPr>
          <w:p>
            <w:pPr>
              <w:spacing w:after="40" w:line="252" w:lineRule="auto"/>
            </w:pPr>
            <w:r>
              <w:rPr>
                <w:sz w:val="19"/>
              </w:rPr>
              <w:t>State of Health (of a battery)</w:t>
            </w:r>
          </w:p>
        </w:tc>
      </w:tr>
      <w:tr>
        <w:trPr>
          <w:cantSplit/>
        </w:trPr>
        <w:tc>
          <w:tcPr>
            <w:tcW w:type="dxa" w:w="1800"/>
            <w:tcMar>
              <w:top w:w="80" w:type="dxa"/>
              <w:start w:w="120" w:type="dxa"/>
              <w:bottom w:w="80" w:type="dxa"/>
              <w:end w:w="120" w:type="dxa"/>
            </w:tcMar>
            <w:vAlign w:val="center"/>
            <w:shd w:fill="F8FAFC"/>
          </w:tcPr>
          <w:p>
            <w:pPr>
              <w:spacing w:after="40" w:line="252" w:lineRule="auto"/>
            </w:pPr>
            <w:r>
              <w:rPr>
                <w:sz w:val="19"/>
              </w:rPr>
              <w:t>SOC</w:t>
            </w:r>
          </w:p>
        </w:tc>
        <w:tc>
          <w:tcPr>
            <w:tcW w:type="dxa" w:w="7560"/>
            <w:tcMar>
              <w:top w:w="80" w:type="dxa"/>
              <w:start w:w="120" w:type="dxa"/>
              <w:bottom w:w="80" w:type="dxa"/>
              <w:end w:w="120" w:type="dxa"/>
            </w:tcMar>
            <w:vAlign w:val="center"/>
            <w:shd w:fill="F8FAFC"/>
          </w:tcPr>
          <w:p>
            <w:pPr>
              <w:spacing w:after="40" w:line="252" w:lineRule="auto"/>
            </w:pPr>
            <w:r>
              <w:rPr>
                <w:sz w:val="19"/>
              </w:rPr>
              <w:t>State of Charge</w:t>
            </w:r>
          </w:p>
        </w:tc>
      </w:tr>
      <w:tr>
        <w:trPr>
          <w:cantSplit/>
        </w:trPr>
        <w:tc>
          <w:tcPr>
            <w:tcW w:type="dxa" w:w="1800"/>
            <w:tcMar>
              <w:top w:w="80" w:type="dxa"/>
              <w:start w:w="120" w:type="dxa"/>
              <w:bottom w:w="80" w:type="dxa"/>
              <w:end w:w="120" w:type="dxa"/>
            </w:tcMar>
            <w:vAlign w:val="center"/>
          </w:tcPr>
          <w:p>
            <w:pPr>
              <w:spacing w:after="40" w:line="252" w:lineRule="auto"/>
            </w:pPr>
            <w:r>
              <w:rPr>
                <w:sz w:val="19"/>
              </w:rPr>
              <w:t>SOP</w:t>
            </w:r>
          </w:p>
        </w:tc>
        <w:tc>
          <w:tcPr>
            <w:tcW w:type="dxa" w:w="7560"/>
            <w:tcMar>
              <w:top w:w="80" w:type="dxa"/>
              <w:start w:w="120" w:type="dxa"/>
              <w:bottom w:w="80" w:type="dxa"/>
              <w:end w:w="120" w:type="dxa"/>
            </w:tcMar>
            <w:vAlign w:val="center"/>
          </w:tcPr>
          <w:p>
            <w:pPr>
              <w:spacing w:after="40" w:line="252" w:lineRule="auto"/>
            </w:pPr>
            <w:r>
              <w:rPr>
                <w:sz w:val="19"/>
              </w:rPr>
              <w:t>Standard Operating Procedure</w:t>
            </w:r>
          </w:p>
        </w:tc>
      </w:tr>
      <w:tr>
        <w:trPr>
          <w:cantSplit/>
        </w:trPr>
        <w:tc>
          <w:tcPr>
            <w:tcW w:type="dxa" w:w="1800"/>
            <w:tcMar>
              <w:top w:w="80" w:type="dxa"/>
              <w:start w:w="120" w:type="dxa"/>
              <w:bottom w:w="80" w:type="dxa"/>
              <w:end w:w="120" w:type="dxa"/>
            </w:tcMar>
            <w:vAlign w:val="center"/>
            <w:shd w:fill="F8FAFC"/>
          </w:tcPr>
          <w:p>
            <w:pPr>
              <w:spacing w:after="40" w:line="252" w:lineRule="auto"/>
            </w:pPr>
            <w:r>
              <w:rPr>
                <w:sz w:val="19"/>
              </w:rPr>
              <w:t>BMS</w:t>
            </w:r>
          </w:p>
        </w:tc>
        <w:tc>
          <w:tcPr>
            <w:tcW w:type="dxa" w:w="7560"/>
            <w:tcMar>
              <w:top w:w="80" w:type="dxa"/>
              <w:start w:w="120" w:type="dxa"/>
              <w:bottom w:w="80" w:type="dxa"/>
              <w:end w:w="120" w:type="dxa"/>
            </w:tcMar>
            <w:vAlign w:val="center"/>
            <w:shd w:fill="F8FAFC"/>
          </w:tcPr>
          <w:p>
            <w:pPr>
              <w:spacing w:after="40" w:line="252" w:lineRule="auto"/>
            </w:pPr>
            <w:r>
              <w:rPr>
                <w:sz w:val="19"/>
              </w:rPr>
              <w:t>Battery Management System</w:t>
            </w:r>
          </w:p>
        </w:tc>
      </w:tr>
      <w:tr>
        <w:trPr>
          <w:cantSplit/>
        </w:trPr>
        <w:tc>
          <w:tcPr>
            <w:tcW w:type="dxa" w:w="1800"/>
            <w:tcMar>
              <w:top w:w="80" w:type="dxa"/>
              <w:start w:w="120" w:type="dxa"/>
              <w:bottom w:w="80" w:type="dxa"/>
              <w:end w:w="120" w:type="dxa"/>
            </w:tcMar>
            <w:vAlign w:val="center"/>
          </w:tcPr>
          <w:p>
            <w:pPr>
              <w:spacing w:after="40" w:line="252" w:lineRule="auto"/>
            </w:pPr>
            <w:r>
              <w:rPr>
                <w:sz w:val="19"/>
              </w:rPr>
              <w:t>PPE</w:t>
            </w:r>
          </w:p>
        </w:tc>
        <w:tc>
          <w:tcPr>
            <w:tcW w:type="dxa" w:w="7560"/>
            <w:tcMar>
              <w:top w:w="80" w:type="dxa"/>
              <w:start w:w="120" w:type="dxa"/>
              <w:bottom w:w="80" w:type="dxa"/>
              <w:end w:w="120" w:type="dxa"/>
            </w:tcMar>
            <w:vAlign w:val="center"/>
          </w:tcPr>
          <w:p>
            <w:pPr>
              <w:spacing w:after="40" w:line="252" w:lineRule="auto"/>
            </w:pPr>
            <w:r>
              <w:rPr>
                <w:sz w:val="19"/>
              </w:rPr>
              <w:t>Personal Protective Equipment</w:t>
            </w:r>
          </w:p>
        </w:tc>
      </w:tr>
      <w:tr>
        <w:trPr>
          <w:cantSplit/>
        </w:trPr>
        <w:tc>
          <w:tcPr>
            <w:tcW w:type="dxa" w:w="1800"/>
            <w:tcMar>
              <w:top w:w="80" w:type="dxa"/>
              <w:start w:w="120" w:type="dxa"/>
              <w:bottom w:w="80" w:type="dxa"/>
              <w:end w:w="120" w:type="dxa"/>
            </w:tcMar>
            <w:vAlign w:val="center"/>
            <w:shd w:fill="F8FAFC"/>
          </w:tcPr>
          <w:p>
            <w:pPr>
              <w:spacing w:after="40" w:line="252" w:lineRule="auto"/>
            </w:pPr>
            <w:r>
              <w:rPr>
                <w:sz w:val="19"/>
              </w:rPr>
              <w:t>ESS</w:t>
            </w:r>
          </w:p>
        </w:tc>
        <w:tc>
          <w:tcPr>
            <w:tcW w:type="dxa" w:w="7560"/>
            <w:tcMar>
              <w:top w:w="80" w:type="dxa"/>
              <w:start w:w="120" w:type="dxa"/>
              <w:bottom w:w="80" w:type="dxa"/>
              <w:end w:w="120" w:type="dxa"/>
            </w:tcMar>
            <w:vAlign w:val="center"/>
            <w:shd w:fill="F8FAFC"/>
          </w:tcPr>
          <w:p>
            <w:pPr>
              <w:spacing w:after="40" w:line="252" w:lineRule="auto"/>
            </w:pPr>
            <w:r>
              <w:rPr>
                <w:sz w:val="19"/>
              </w:rPr>
              <w:t>Energy Storage System</w:t>
            </w:r>
          </w:p>
        </w:tc>
      </w:tr>
    </w:tbl>
    <w:p>
      <w:pPr>
        <w:spacing w:after="20"/>
      </w:pPr>
    </w:p>
    <w:p>
      <w:pPr>
        <w:pStyle w:val="Heading1"/>
      </w:pPr>
      <w:r>
        <w:t>1. Project Summary</w:t>
      </w:r>
    </w:p>
    <w:p>
      <w:r>
        <w:t>MCBI’s ultimate goal is to establish a battery diagnostics, testing, and critical minerals recovery research center in Mongolia, and this project is its first stage — a collection, diagnostics, and sorting laboratory.</w:t>
      </w:r>
    </w:p>
    <w:p>
      <w:r>
        <w:t>As the use of electric vehicles, energy storage systems, electric tools, and portable devices grows in Mongolia, the need to safely manage the resulting flow of end-of-life batteries is increasing. However, practical capacity to record batteries by type, chemistry, technical condition, and hazard level, to evaluate reuse potential on an evidence basis, and to route them to the appropriate next destination remains insufficient.</w:t>
      </w:r>
    </w:p>
    <w:p>
      <w:r>
        <w:t>Over 18 months, the project will establish one pilot center and a limited collection network to test the receive–quarantine–safe storage–diagnose–classify–record workflow. The center will not forcibly dismantle, shred, or chemically extract metal from batteries. Instead, it will place each battery into a decision category: reusable, requiring transfer to specialized processing only, or hazardous/damaged and to be quarantined.</w:t>
      </w:r>
    </w:p>
    <w:tbl>
      <w:tblPr>
        <w:tblW w:type="auto" w:w="0"/>
        <w:jc w:val="center"/>
        <w:tblLayout w:type="fixed"/>
        <w:tblLook w:firstColumn="1" w:firstRow="1" w:lastColumn="0" w:lastRow="0" w:noHBand="0" w:noVBand="1" w:val="04A0"/>
      </w:tblPr>
      <w:tblGrid>
        <w:gridCol w:w="9360"/>
      </w:tblGrid>
      <w:tr>
        <w:trPr>
          <w:tblHeader w:val="true"/>
          <w:cantSplit/>
        </w:trPr>
        <w:tc>
          <w:tcPr>
            <w:tcW w:type="dxa" w:w="9360"/>
            <w:tcMar>
              <w:top w:w="160" w:type="dxa"/>
              <w:start w:w="180" w:type="dxa"/>
              <w:bottom w:w="160" w:type="dxa"/>
              <w:end w:w="180" w:type="dxa"/>
            </w:tcMar>
            <w:shd w:fill="EAF2F8"/>
          </w:tcPr>
          <w:p>
            <w:pPr>
              <w:spacing w:after="0"/>
            </w:pPr>
            <w:r>
              <w:rPr>
                <w:b/>
                <w:color w:val="1F4D78"/>
              </w:rPr>
              <w:t xml:space="preserve">Core value of the project: </w:t>
            </w:r>
            <w:r>
              <w:t>It builds real data, safety practices, trained personnel, and an institutional roles model in Mongolia, making it possible to base the next investment decision on evidence rather than assumption.</w:t>
            </w:r>
          </w:p>
        </w:tc>
      </w:tr>
    </w:tbl>
    <w:p>
      <w:pPr>
        <w:spacing w:after="20"/>
      </w:pPr>
    </w:p>
    <w:p>
      <w:pPr>
        <w:pStyle w:val="Heading1"/>
      </w:pPr>
      <w:r>
        <w:t>2. Context and Problem Rationale</w:t>
      </w:r>
    </w:p>
    <w:p>
      <w:pPr>
        <w:pStyle w:val="Heading2"/>
      </w:pPr>
      <w:r>
        <w:t>2.1 Pressing Issues</w:t>
      </w:r>
    </w:p>
    <w:p>
      <w:pPr>
        <w:pStyle w:val="ListBullet"/>
        <w:spacing w:after="80" w:line="290" w:lineRule="auto"/>
      </w:pPr>
      <w:r>
        <w:t>More than 77% of Mongolia’s territory is currently affected by land degradation, and an uncontrolled flow of end-of-life batteries risks accelerating this degradation further.</w:t>
      </w:r>
    </w:p>
    <w:p>
      <w:pPr>
        <w:pStyle w:val="ListBullet"/>
        <w:spacing w:after="80" w:line="290" w:lineRule="auto"/>
      </w:pPr>
      <w:r>
        <w:t>Mongolia currently has no legal framework for mandatory battery collection, take-back, or Extended Producer Responsibility (EPR) for manufacturers/importers, so the flow continues to accumulate unregulated.</w:t>
      </w:r>
    </w:p>
    <w:p>
      <w:pPr>
        <w:pStyle w:val="ListBullet"/>
        <w:spacing w:after="80" w:line="290" w:lineRule="auto"/>
      </w:pPr>
      <w:r>
        <w:t>Mongolia has not yet developed full-scale domestic production capacity to separate, assay, and purify rare earth elements and other critical minerals.</w:t>
      </w:r>
    </w:p>
    <w:p>
      <w:pPr>
        <w:pStyle w:val="ListBullet"/>
        <w:spacing w:after="80" w:line="290" w:lineRule="auto"/>
      </w:pPr>
      <w:r>
        <w:t>Consolidated data on the actual volume, type, location, and age profile of battery waste is scarce.</w:t>
      </w:r>
    </w:p>
    <w:p>
      <w:pPr>
        <w:pStyle w:val="ListBullet"/>
        <w:spacing w:after="80" w:line="290" w:lineRule="auto"/>
      </w:pPr>
      <w:r>
        <w:t>Mixing damaged or charged batteries with ordinary waste, or storing them in unsuitable locations, carries the risk of fire, thermal runaway, and hazardous substance release.</w:t>
      </w:r>
    </w:p>
    <w:p>
      <w:pPr>
        <w:pStyle w:val="ListBullet"/>
        <w:spacing w:after="80" w:line="290" w:lineRule="auto"/>
      </w:pPr>
      <w:r>
        <w:t>Capacity to distinguish, by technical criteria, between batteries that can be reused and those that require reprocessing is weak.</w:t>
      </w:r>
    </w:p>
    <w:p>
      <w:pPr>
        <w:pStyle w:val="ListBullet"/>
        <w:spacing w:after="80" w:line="290" w:lineRule="auto"/>
      </w:pPr>
      <w:r>
        <w:t>The roles of importers, users, repair shops, transporters, and waste operators, and the mechanism for exchanging information among them, are unclear.</w:t>
      </w:r>
    </w:p>
    <w:p>
      <w:pPr>
        <w:pStyle w:val="ListBullet"/>
        <w:spacing w:after="80" w:line="290" w:lineRule="auto"/>
      </w:pPr>
      <w:r>
        <w:t>Treating an undiagnosed battery outright as either “waste” or “valuable raw material” can lead to poor safety and economic decisions.</w:t>
      </w:r>
    </w:p>
    <w:p>
      <w:pPr>
        <w:pStyle w:val="Heading2"/>
      </w:pPr>
      <w:r>
        <w:t>2.2 Project Rationale</w:t>
      </w:r>
    </w:p>
    <w:p>
      <w:r>
        <w:t>Before a large-scale reprocessing plant can be planned outright, the battery flow, chemical composition, SOH, logistics, safety practices, and market channels need to be tested in practice. The pilot center will close this information gap and form the basis for the next decisions on policy, standards, and investment.</w:t>
      </w:r>
    </w:p>
    <w:p>
      <w:pPr>
        <w:pStyle w:val="Heading2"/>
      </w:pPr>
      <w:r>
        <w:t>2.3 Policy and Permitting Principles</w:t>
      </w:r>
    </w:p>
    <w:p>
      <w:r>
        <w:t>In implementing the project, applicable Mongolian requirements on the environment, waste, hazardous substances, fire safety, occupational safety, construction, and transport will be verified with the relevant authorities. Activities requiring a permit will begin only after the permit has been obtained. Final classification, licensing, and reporting obligations will be confirmed with legal and technical advisors.</w:t>
      </w:r>
    </w:p>
    <w:p>
      <w:pPr>
        <w:pStyle w:val="Heading1"/>
      </w:pPr>
      <w:r>
        <w:t>3. Goal and Objectives</w:t>
      </w:r>
    </w:p>
    <w:p>
      <w:pPr>
        <w:pStyle w:val="Heading2"/>
      </w:pPr>
      <w:r>
        <w:t>3.1 Overall Goal</w:t>
      </w:r>
    </w:p>
    <w:p>
      <w:r>
        <w:t>Lay the foundation of a national system for safely, responsibly, and traceably managing end-of-life batteries, and validate the model for a pilot collection, diagnostics, and sorting center (laboratory).</w:t>
      </w:r>
    </w:p>
    <w:p>
      <w:pPr>
        <w:pStyle w:val="Heading2"/>
      </w:pPr>
      <w:r>
        <w:t>3.2 Specific Objectives</w:t>
      </w:r>
    </w:p>
    <w:p>
      <w:pPr>
        <w:pStyle w:val="ListNumber"/>
        <w:spacing w:after="80" w:line="290" w:lineRule="auto"/>
      </w:pPr>
      <w:r>
        <w:t>Conduct baseline research on battery sources, types, volumes, and movement.</w:t>
      </w:r>
    </w:p>
    <w:p>
      <w:pPr>
        <w:pStyle w:val="ListNumber"/>
        <w:spacing w:after="80" w:line="290" w:lineRule="auto"/>
      </w:pPr>
      <w:r>
        <w:t>Develop the technical, safety, and site design of the pilot center, and map out the permitting pathway.</w:t>
      </w:r>
    </w:p>
    <w:p>
      <w:pPr>
        <w:pStyle w:val="ListNumber"/>
        <w:spacing w:after="80" w:line="290" w:lineRule="auto"/>
      </w:pPr>
      <w:r>
        <w:t>Test, within a limited scope, the system for receiving, transporting, quarantining, and storing batteries.</w:t>
      </w:r>
    </w:p>
    <w:p>
      <w:pPr>
        <w:pStyle w:val="ListNumber"/>
        <w:spacing w:after="80" w:line="290" w:lineRule="auto"/>
      </w:pPr>
      <w:r>
        <w:t>Carry out visual inspection, voltage, temperature, and insulation checks, and — where possible — BMS data readout and SOH assessment, under standard procedures.</w:t>
      </w:r>
    </w:p>
    <w:p>
      <w:pPr>
        <w:pStyle w:val="ListNumber"/>
        <w:spacing w:after="80" w:line="290" w:lineRule="auto"/>
      </w:pPr>
      <w:r>
        <w:t>Assign each battery a unique digital ID/QR code and record its origin, analysis, classification, and transfer.</w:t>
      </w:r>
    </w:p>
    <w:p>
      <w:pPr>
        <w:pStyle w:val="ListNumber"/>
        <w:spacing w:after="80" w:line="290" w:lineRule="auto"/>
      </w:pPr>
      <w:r>
        <w:t>Deliver a training package for operators, emergency services, repair providers, and importers.</w:t>
      </w:r>
    </w:p>
    <w:p>
      <w:pPr>
        <w:pStyle w:val="ListNumber"/>
        <w:spacing w:after="80" w:line="290" w:lineRule="auto"/>
      </w:pPr>
      <w:r>
        <w:t>Develop recommendations on EPR, standards, financing, and next-stage capacity, based on pilot data.</w:t>
      </w:r>
    </w:p>
    <w:p>
      <w:pPr>
        <w:pStyle w:val="Heading1"/>
      </w:pPr>
      <w:r>
        <w:t>4. Scope and Limitations</w:t>
      </w:r>
    </w:p>
    <w:tbl>
      <w:tblPr>
        <w:tblStyle w:val="TableGrid"/>
        <w:tblW w:type="dxa" w:w="9360"/>
        <w:jc w:val="center"/>
        <w:tblLayout w:type="fixed"/>
        <w:tblLook w:firstColumn="1" w:firstRow="1" w:lastColumn="0" w:lastRow="0" w:noHBand="0" w:noVBand="1" w:val="04A0"/>
        <w:tblInd w:w="120" w:type="dxa"/>
      </w:tblPr>
      <w:tblGrid>
        <w:gridCol w:w="4680"/>
        <w:gridCol w:w="4680"/>
      </w:tblGrid>
      <w:tr>
        <w:trPr>
          <w:tblHeader w:val="true"/>
          <w:cantSplit/>
        </w:trPr>
        <w:tc>
          <w:tcPr>
            <w:tcW w:type="dxa" w:w="4680"/>
            <w:tcMar>
              <w:top w:w="80" w:type="dxa"/>
              <w:start w:w="120" w:type="dxa"/>
              <w:bottom w:w="80" w:type="dxa"/>
              <w:end w:w="120" w:type="dxa"/>
            </w:tcMar>
            <w:vAlign w:val="center"/>
            <w:shd w:fill="1F4D78"/>
          </w:tcPr>
          <w:p>
            <w:pPr>
              <w:spacing w:after="40" w:line="252" w:lineRule="auto"/>
            </w:pPr>
            <w:r>
              <w:rPr>
                <w:b/>
                <w:color w:val="FFFFFF"/>
                <w:sz w:val="19"/>
              </w:rPr>
              <w:t>In Scope</w:t>
            </w:r>
          </w:p>
        </w:tc>
        <w:tc>
          <w:tcPr>
            <w:tcW w:type="dxa" w:w="4680"/>
            <w:tcMar>
              <w:top w:w="80" w:type="dxa"/>
              <w:start w:w="120" w:type="dxa"/>
              <w:bottom w:w="80" w:type="dxa"/>
              <w:end w:w="120" w:type="dxa"/>
            </w:tcMar>
            <w:vAlign w:val="center"/>
            <w:shd w:fill="1F4D78"/>
          </w:tcPr>
          <w:p>
            <w:pPr>
              <w:spacing w:after="40" w:line="252" w:lineRule="auto"/>
            </w:pPr>
            <w:r>
              <w:rPr>
                <w:b/>
                <w:color w:val="FFFFFF"/>
                <w:sz w:val="19"/>
              </w:rPr>
              <w:t>Out of Scope</w:t>
            </w:r>
          </w:p>
        </w:tc>
      </w:tr>
      <w:tr>
        <w:trPr>
          <w:cantSplit/>
        </w:trPr>
        <w:tc>
          <w:tcPr>
            <w:tcW w:type="dxa" w:w="4680"/>
            <w:tcMar>
              <w:top w:w="80" w:type="dxa"/>
              <w:start w:w="120" w:type="dxa"/>
              <w:bottom w:w="80" w:type="dxa"/>
              <w:end w:w="120" w:type="dxa"/>
            </w:tcMar>
            <w:vAlign w:val="center"/>
          </w:tcPr>
          <w:p>
            <w:pPr>
              <w:spacing w:after="40" w:line="252" w:lineRule="auto"/>
            </w:pPr>
            <w:r>
              <w:rPr>
                <w:sz w:val="19"/>
              </w:rPr>
              <w:t>Baseline research and source mapping</w:t>
            </w:r>
          </w:p>
        </w:tc>
        <w:tc>
          <w:tcPr>
            <w:tcW w:type="dxa" w:w="4680"/>
            <w:tcMar>
              <w:top w:w="80" w:type="dxa"/>
              <w:start w:w="120" w:type="dxa"/>
              <w:bottom w:w="80" w:type="dxa"/>
              <w:end w:w="120" w:type="dxa"/>
            </w:tcMar>
            <w:vAlign w:val="center"/>
          </w:tcPr>
          <w:p>
            <w:pPr>
              <w:spacing w:after="40" w:line="252" w:lineRule="auto"/>
            </w:pPr>
            <w:r>
              <w:rPr>
                <w:sz w:val="19"/>
              </w:rPr>
              <w:t>Declaring the country’s total waste volume from unverified estimates</w:t>
            </w:r>
          </w:p>
        </w:tc>
      </w:tr>
      <w:tr>
        <w:trPr>
          <w:cantSplit/>
        </w:trPr>
        <w:tc>
          <w:tcPr>
            <w:tcW w:type="dxa" w:w="4680"/>
            <w:tcMar>
              <w:top w:w="80" w:type="dxa"/>
              <w:start w:w="120" w:type="dxa"/>
              <w:bottom w:w="80" w:type="dxa"/>
              <w:end w:w="120" w:type="dxa"/>
            </w:tcMar>
            <w:vAlign w:val="center"/>
            <w:shd w:fill="F8FAFC"/>
          </w:tcPr>
          <w:p>
            <w:pPr>
              <w:spacing w:after="40" w:line="252" w:lineRule="auto"/>
            </w:pPr>
            <w:r>
              <w:rPr>
                <w:sz w:val="19"/>
              </w:rPr>
              <w:t>Safe receiving, packaging, and temporary storage</w:t>
            </w:r>
          </w:p>
        </w:tc>
        <w:tc>
          <w:tcPr>
            <w:tcW w:type="dxa" w:w="4680"/>
            <w:tcMar>
              <w:top w:w="80" w:type="dxa"/>
              <w:start w:w="120" w:type="dxa"/>
              <w:bottom w:w="80" w:type="dxa"/>
              <w:end w:w="120" w:type="dxa"/>
            </w:tcMar>
            <w:vAlign w:val="center"/>
            <w:shd w:fill="F8FAFC"/>
          </w:tcPr>
          <w:p>
            <w:pPr>
              <w:spacing w:after="40" w:line="252" w:lineRule="auto"/>
            </w:pPr>
            <w:r>
              <w:rPr>
                <w:sz w:val="19"/>
              </w:rPr>
              <w:t>Uncontrolled stockpiling of batteries in ordinary warehouses</w:t>
            </w:r>
          </w:p>
        </w:tc>
      </w:tr>
      <w:tr>
        <w:trPr>
          <w:cantSplit/>
        </w:trPr>
        <w:tc>
          <w:tcPr>
            <w:tcW w:type="dxa" w:w="4680"/>
            <w:tcMar>
              <w:top w:w="80" w:type="dxa"/>
              <w:start w:w="120" w:type="dxa"/>
              <w:bottom w:w="80" w:type="dxa"/>
              <w:end w:w="120" w:type="dxa"/>
            </w:tcMar>
            <w:vAlign w:val="center"/>
          </w:tcPr>
          <w:p>
            <w:pPr>
              <w:spacing w:after="40" w:line="252" w:lineRule="auto"/>
            </w:pPr>
            <w:r>
              <w:rPr>
                <w:sz w:val="19"/>
              </w:rPr>
              <w:t>Non-destructive diagnostics and classification</w:t>
            </w:r>
          </w:p>
        </w:tc>
        <w:tc>
          <w:tcPr>
            <w:tcW w:type="dxa" w:w="4680"/>
            <w:tcMar>
              <w:top w:w="80" w:type="dxa"/>
              <w:start w:w="120" w:type="dxa"/>
              <w:bottom w:w="80" w:type="dxa"/>
              <w:end w:w="120" w:type="dxa"/>
            </w:tcMar>
            <w:vAlign w:val="center"/>
          </w:tcPr>
          <w:p>
            <w:pPr>
              <w:spacing w:after="40" w:line="252" w:lineRule="auto"/>
            </w:pPr>
            <w:r>
              <w:rPr>
                <w:sz w:val="19"/>
              </w:rPr>
              <w:t>Disassembling packs without safety validation</w:t>
            </w:r>
          </w:p>
        </w:tc>
      </w:tr>
      <w:tr>
        <w:trPr>
          <w:cantSplit/>
        </w:trPr>
        <w:tc>
          <w:tcPr>
            <w:tcW w:type="dxa" w:w="4680"/>
            <w:tcMar>
              <w:top w:w="80" w:type="dxa"/>
              <w:start w:w="120" w:type="dxa"/>
              <w:bottom w:w="80" w:type="dxa"/>
              <w:end w:w="120" w:type="dxa"/>
            </w:tcMar>
            <w:vAlign w:val="center"/>
            <w:shd w:fill="F8FAFC"/>
          </w:tcPr>
          <w:p>
            <w:pPr>
              <w:spacing w:after="40" w:line="252" w:lineRule="auto"/>
            </w:pPr>
            <w:r>
              <w:rPr>
                <w:sz w:val="19"/>
              </w:rPr>
              <w:t>QR/digital traceability records</w:t>
            </w:r>
          </w:p>
        </w:tc>
        <w:tc>
          <w:tcPr>
            <w:tcW w:type="dxa" w:w="4680"/>
            <w:tcMar>
              <w:top w:w="80" w:type="dxa"/>
              <w:start w:w="120" w:type="dxa"/>
              <w:bottom w:w="80" w:type="dxa"/>
              <w:end w:w="120" w:type="dxa"/>
            </w:tcMar>
            <w:vAlign w:val="center"/>
            <w:shd w:fill="F8FAFC"/>
          </w:tcPr>
          <w:p>
            <w:pPr>
              <w:spacing w:after="40" w:line="252" w:lineRule="auto"/>
            </w:pPr>
            <w:r>
              <w:rPr>
                <w:sz w:val="19"/>
              </w:rPr>
              <w:t>Collecting personal data beyond what is necessary</w:t>
            </w:r>
          </w:p>
        </w:tc>
      </w:tr>
      <w:tr>
        <w:trPr>
          <w:cantSplit/>
        </w:trPr>
        <w:tc>
          <w:tcPr>
            <w:tcW w:type="dxa" w:w="4680"/>
            <w:tcMar>
              <w:top w:w="80" w:type="dxa"/>
              <w:start w:w="120" w:type="dxa"/>
              <w:bottom w:w="80" w:type="dxa"/>
              <w:end w:w="120" w:type="dxa"/>
            </w:tcMar>
            <w:vAlign w:val="center"/>
          </w:tcPr>
          <w:p>
            <w:pPr>
              <w:spacing w:after="40" w:line="252" w:lineRule="auto"/>
            </w:pPr>
            <w:r>
              <w:rPr>
                <w:sz w:val="19"/>
              </w:rPr>
              <w:t>Transfer to an approved partner</w:t>
            </w:r>
          </w:p>
        </w:tc>
        <w:tc>
          <w:tcPr>
            <w:tcW w:type="dxa" w:w="4680"/>
            <w:tcMar>
              <w:top w:w="80" w:type="dxa"/>
              <w:start w:w="120" w:type="dxa"/>
              <w:bottom w:w="80" w:type="dxa"/>
              <w:end w:w="120" w:type="dxa"/>
            </w:tcMar>
            <w:vAlign w:val="center"/>
          </w:tcPr>
          <w:p>
            <w:pPr>
              <w:spacing w:after="40" w:line="252" w:lineRule="auto"/>
            </w:pPr>
            <w:r>
              <w:rPr>
                <w:sz w:val="19"/>
              </w:rPr>
              <w:t>Shredding, smelting, or hydrometallurgical processing</w:t>
            </w:r>
          </w:p>
        </w:tc>
      </w:tr>
      <w:tr>
        <w:trPr>
          <w:cantSplit/>
        </w:trPr>
        <w:tc>
          <w:tcPr>
            <w:tcW w:type="dxa" w:w="4680"/>
            <w:tcMar>
              <w:top w:w="80" w:type="dxa"/>
              <w:start w:w="120" w:type="dxa"/>
              <w:bottom w:w="80" w:type="dxa"/>
              <w:end w:w="120" w:type="dxa"/>
            </w:tcMar>
            <w:vAlign w:val="center"/>
            <w:shd w:fill="F8FAFC"/>
          </w:tcPr>
          <w:p>
            <w:pPr>
              <w:spacing w:after="40" w:line="252" w:lineRule="auto"/>
            </w:pPr>
            <w:r>
              <w:rPr>
                <w:sz w:val="19"/>
              </w:rPr>
              <w:t>Training, SOPs, and emergency preparedness</w:t>
            </w:r>
          </w:p>
        </w:tc>
        <w:tc>
          <w:tcPr>
            <w:tcW w:type="dxa" w:w="4680"/>
            <w:tcMar>
              <w:top w:w="80" w:type="dxa"/>
              <w:start w:w="120" w:type="dxa"/>
              <w:bottom w:w="80" w:type="dxa"/>
              <w:end w:w="120" w:type="dxa"/>
            </w:tcMar>
            <w:vAlign w:val="center"/>
            <w:shd w:fill="F8FAFC"/>
          </w:tcPr>
          <w:p>
            <w:pPr>
              <w:spacing w:after="40" w:line="252" w:lineRule="auto"/>
            </w:pPr>
            <w:r>
              <w:rPr>
                <w:sz w:val="19"/>
              </w:rPr>
              <w:t>Transporting hazardous waste without authorization</w:t>
            </w:r>
          </w:p>
        </w:tc>
      </w:tr>
    </w:tbl>
    <w:p>
      <w:pPr>
        <w:spacing w:after="20"/>
      </w:pPr>
    </w:p>
    <w:tbl>
      <w:tblPr>
        <w:tblW w:type="auto" w:w="0"/>
        <w:jc w:val="center"/>
        <w:tblLayout w:type="fixed"/>
        <w:tblLook w:firstColumn="1" w:firstRow="1" w:lastColumn="0" w:lastRow="0" w:noHBand="0" w:noVBand="1" w:val="04A0"/>
      </w:tblPr>
      <w:tblGrid>
        <w:gridCol w:w="9360"/>
      </w:tblGrid>
      <w:tr>
        <w:trPr>
          <w:tblHeader w:val="true"/>
          <w:cantSplit/>
        </w:trPr>
        <w:tc>
          <w:tcPr>
            <w:tcW w:type="dxa" w:w="9360"/>
            <w:tcMar>
              <w:top w:w="160" w:type="dxa"/>
              <w:start w:w="180" w:type="dxa"/>
              <w:bottom w:w="160" w:type="dxa"/>
              <w:end w:w="180" w:type="dxa"/>
            </w:tcMar>
            <w:shd w:fill="EAF2F8"/>
          </w:tcPr>
          <w:p>
            <w:pPr>
              <w:spacing w:after="0"/>
            </w:pPr>
            <w:r>
              <w:rPr>
                <w:b/>
                <w:color w:val="1F4D78"/>
              </w:rPr>
              <w:t xml:space="preserve">Decision principle: </w:t>
            </w:r>
            <w:r>
              <w:t>A battery of uncertain condition is never classified as reusable. Safety takes precedence over economic return.</w:t>
            </w:r>
          </w:p>
        </w:tc>
      </w:tr>
    </w:tbl>
    <w:p>
      <w:pPr>
        <w:spacing w:after="20"/>
      </w:pPr>
    </w:p>
    <w:p>
      <w:pPr>
        <w:pStyle w:val="Heading1"/>
      </w:pPr>
      <w:r>
        <w:t>5. Target Groups and Stakeholders</w:t>
      </w:r>
    </w:p>
    <w:tbl>
      <w:tblPr>
        <w:tblStyle w:val="TableGrid"/>
        <w:tblW w:type="dxa" w:w="9360"/>
        <w:jc w:val="center"/>
        <w:tblLayout w:type="fixed"/>
        <w:tblLook w:firstColumn="1" w:firstRow="1" w:lastColumn="0" w:lastRow="0" w:noHBand="0" w:noVBand="1" w:val="04A0"/>
        <w:tblInd w:w="120" w:type="dxa"/>
      </w:tblPr>
      <w:tblGrid>
        <w:gridCol w:w="1700"/>
        <w:gridCol w:w="3900"/>
        <w:gridCol w:w="3760"/>
      </w:tblGrid>
      <w:tr>
        <w:trPr>
          <w:tblHeader w:val="true"/>
          <w:cantSplit/>
        </w:trPr>
        <w:tc>
          <w:tcPr>
            <w:tcW w:type="dxa" w:w="1700"/>
            <w:tcMar>
              <w:top w:w="80" w:type="dxa"/>
              <w:start w:w="120" w:type="dxa"/>
              <w:bottom w:w="80" w:type="dxa"/>
              <w:end w:w="120" w:type="dxa"/>
            </w:tcMar>
            <w:vAlign w:val="center"/>
            <w:shd w:fill="1F4D78"/>
          </w:tcPr>
          <w:p>
            <w:pPr>
              <w:spacing w:after="40" w:line="252" w:lineRule="auto"/>
            </w:pPr>
            <w:r>
              <w:rPr>
                <w:b/>
                <w:color w:val="FFFFFF"/>
                <w:sz w:val="19"/>
              </w:rPr>
              <w:t>Stakeholder</w:t>
            </w:r>
          </w:p>
        </w:tc>
        <w:tc>
          <w:tcPr>
            <w:tcW w:type="dxa" w:w="3900"/>
            <w:tcMar>
              <w:top w:w="80" w:type="dxa"/>
              <w:start w:w="120" w:type="dxa"/>
              <w:bottom w:w="80" w:type="dxa"/>
              <w:end w:w="120" w:type="dxa"/>
            </w:tcMar>
            <w:vAlign w:val="center"/>
            <w:shd w:fill="1F4D78"/>
          </w:tcPr>
          <w:p>
            <w:pPr>
              <w:spacing w:after="40" w:line="252" w:lineRule="auto"/>
            </w:pPr>
            <w:r>
              <w:rPr>
                <w:b/>
                <w:color w:val="FFFFFF"/>
                <w:sz w:val="19"/>
              </w:rPr>
              <w:t>Role and Involvement</w:t>
            </w:r>
          </w:p>
        </w:tc>
        <w:tc>
          <w:tcPr>
            <w:tcW w:type="dxa" w:w="3760"/>
            <w:tcMar>
              <w:top w:w="80" w:type="dxa"/>
              <w:start w:w="120" w:type="dxa"/>
              <w:bottom w:w="80" w:type="dxa"/>
              <w:end w:w="120" w:type="dxa"/>
            </w:tcMar>
            <w:vAlign w:val="center"/>
            <w:shd w:fill="1F4D78"/>
          </w:tcPr>
          <w:p>
            <w:pPr>
              <w:spacing w:after="40" w:line="252" w:lineRule="auto"/>
            </w:pPr>
            <w:r>
              <w:rPr>
                <w:b/>
                <w:color w:val="FFFFFF"/>
                <w:sz w:val="19"/>
              </w:rPr>
              <w:t>Expected Benefit</w:t>
            </w:r>
          </w:p>
        </w:tc>
      </w:tr>
      <w:tr>
        <w:trPr>
          <w:cantSplit/>
        </w:trPr>
        <w:tc>
          <w:tcPr>
            <w:tcW w:type="dxa" w:w="1700"/>
            <w:tcMar>
              <w:top w:w="80" w:type="dxa"/>
              <w:start w:w="120" w:type="dxa"/>
              <w:bottom w:w="80" w:type="dxa"/>
              <w:end w:w="120" w:type="dxa"/>
            </w:tcMar>
            <w:vAlign w:val="center"/>
          </w:tcPr>
          <w:p>
            <w:pPr>
              <w:spacing w:after="40" w:line="252" w:lineRule="auto"/>
            </w:pPr>
            <w:r>
              <w:rPr>
                <w:sz w:val="19"/>
              </w:rPr>
              <w:t>Government agencies</w:t>
            </w:r>
          </w:p>
        </w:tc>
        <w:tc>
          <w:tcPr>
            <w:tcW w:type="dxa" w:w="3900"/>
            <w:tcMar>
              <w:top w:w="80" w:type="dxa"/>
              <w:start w:w="120" w:type="dxa"/>
              <w:bottom w:w="80" w:type="dxa"/>
              <w:end w:w="120" w:type="dxa"/>
            </w:tcMar>
            <w:vAlign w:val="center"/>
          </w:tcPr>
          <w:p>
            <w:pPr>
              <w:spacing w:after="40" w:line="252" w:lineRule="auto"/>
            </w:pPr>
            <w:r>
              <w:rPr>
                <w:sz w:val="19"/>
              </w:rPr>
              <w:t>Policy, permitting, oversight, data exchange</w:t>
            </w:r>
          </w:p>
        </w:tc>
        <w:tc>
          <w:tcPr>
            <w:tcW w:type="dxa" w:w="3760"/>
            <w:tcMar>
              <w:top w:w="80" w:type="dxa"/>
              <w:start w:w="120" w:type="dxa"/>
              <w:bottom w:w="80" w:type="dxa"/>
              <w:end w:w="120" w:type="dxa"/>
            </w:tcMar>
            <w:vAlign w:val="center"/>
          </w:tcPr>
          <w:p>
            <w:pPr>
              <w:spacing w:after="40" w:line="252" w:lineRule="auto"/>
            </w:pPr>
            <w:r>
              <w:rPr>
                <w:sz w:val="19"/>
              </w:rPr>
              <w:t>Real data for decision-making</w:t>
            </w:r>
          </w:p>
        </w:tc>
      </w:tr>
      <w:tr>
        <w:trPr>
          <w:cantSplit/>
        </w:trPr>
        <w:tc>
          <w:tcPr>
            <w:tcW w:type="dxa" w:w="1700"/>
            <w:tcMar>
              <w:top w:w="80" w:type="dxa"/>
              <w:start w:w="120" w:type="dxa"/>
              <w:bottom w:w="80" w:type="dxa"/>
              <w:end w:w="120" w:type="dxa"/>
            </w:tcMar>
            <w:vAlign w:val="center"/>
            <w:shd w:fill="F8FAFC"/>
          </w:tcPr>
          <w:p>
            <w:pPr>
              <w:spacing w:after="40" w:line="252" w:lineRule="auto"/>
            </w:pPr>
            <w:r>
              <w:rPr>
                <w:sz w:val="19"/>
              </w:rPr>
              <w:t>Importers, distributors</w:t>
            </w:r>
          </w:p>
        </w:tc>
        <w:tc>
          <w:tcPr>
            <w:tcW w:type="dxa" w:w="3900"/>
            <w:tcMar>
              <w:top w:w="80" w:type="dxa"/>
              <w:start w:w="120" w:type="dxa"/>
              <w:bottom w:w="80" w:type="dxa"/>
              <w:end w:w="120" w:type="dxa"/>
            </w:tcMar>
            <w:vAlign w:val="center"/>
            <w:shd w:fill="F8FAFC"/>
          </w:tcPr>
          <w:p>
            <w:pPr>
              <w:spacing w:after="40" w:line="252" w:lineRule="auto"/>
            </w:pPr>
            <w:r>
              <w:rPr>
                <w:sz w:val="19"/>
              </w:rPr>
              <w:t>Take-back points, information, financial participation</w:t>
            </w:r>
          </w:p>
        </w:tc>
        <w:tc>
          <w:tcPr>
            <w:tcW w:type="dxa" w:w="3760"/>
            <w:tcMar>
              <w:top w:w="80" w:type="dxa"/>
              <w:start w:w="120" w:type="dxa"/>
              <w:bottom w:w="80" w:type="dxa"/>
              <w:end w:w="120" w:type="dxa"/>
            </w:tcMar>
            <w:vAlign w:val="center"/>
            <w:shd w:fill="F8FAFC"/>
          </w:tcPr>
          <w:p>
            <w:pPr>
              <w:spacing w:after="40" w:line="252" w:lineRule="auto"/>
            </w:pPr>
            <w:r>
              <w:rPr>
                <w:sz w:val="19"/>
              </w:rPr>
              <w:t>Preparation for EPR, reduced risk</w:t>
            </w:r>
          </w:p>
        </w:tc>
      </w:tr>
      <w:tr>
        <w:trPr>
          <w:cantSplit/>
        </w:trPr>
        <w:tc>
          <w:tcPr>
            <w:tcW w:type="dxa" w:w="1700"/>
            <w:tcMar>
              <w:top w:w="80" w:type="dxa"/>
              <w:start w:w="120" w:type="dxa"/>
              <w:bottom w:w="80" w:type="dxa"/>
              <w:end w:w="120" w:type="dxa"/>
            </w:tcMar>
            <w:vAlign w:val="center"/>
          </w:tcPr>
          <w:p>
            <w:pPr>
              <w:spacing w:after="40" w:line="252" w:lineRule="auto"/>
            </w:pPr>
            <w:r>
              <w:rPr>
                <w:sz w:val="19"/>
              </w:rPr>
              <w:t>Repair and service providers</w:t>
            </w:r>
          </w:p>
        </w:tc>
        <w:tc>
          <w:tcPr>
            <w:tcW w:type="dxa" w:w="3900"/>
            <w:tcMar>
              <w:top w:w="80" w:type="dxa"/>
              <w:start w:w="120" w:type="dxa"/>
              <w:bottom w:w="80" w:type="dxa"/>
              <w:end w:w="120" w:type="dxa"/>
            </w:tcMar>
            <w:vAlign w:val="center"/>
          </w:tcPr>
          <w:p>
            <w:pPr>
              <w:spacing w:after="40" w:line="252" w:lineRule="auto"/>
            </w:pPr>
            <w:r>
              <w:rPr>
                <w:sz w:val="19"/>
              </w:rPr>
              <w:t>Detection, initial quarantine, transfer</w:t>
            </w:r>
          </w:p>
        </w:tc>
        <w:tc>
          <w:tcPr>
            <w:tcW w:type="dxa" w:w="3760"/>
            <w:tcMar>
              <w:top w:w="80" w:type="dxa"/>
              <w:start w:w="120" w:type="dxa"/>
              <w:bottom w:w="80" w:type="dxa"/>
              <w:end w:w="120" w:type="dxa"/>
            </w:tcMar>
            <w:vAlign w:val="center"/>
          </w:tcPr>
          <w:p>
            <w:pPr>
              <w:spacing w:after="40" w:line="252" w:lineRule="auto"/>
            </w:pPr>
            <w:r>
              <w:rPr>
                <w:sz w:val="19"/>
              </w:rPr>
              <w:t>Safety, a responsible channel</w:t>
            </w:r>
          </w:p>
        </w:tc>
      </w:tr>
      <w:tr>
        <w:trPr>
          <w:cantSplit/>
        </w:trPr>
        <w:tc>
          <w:tcPr>
            <w:tcW w:type="dxa" w:w="1700"/>
            <w:tcMar>
              <w:top w:w="80" w:type="dxa"/>
              <w:start w:w="120" w:type="dxa"/>
              <w:bottom w:w="80" w:type="dxa"/>
              <w:end w:w="120" w:type="dxa"/>
            </w:tcMar>
            <w:vAlign w:val="center"/>
            <w:shd w:fill="F8FAFC"/>
          </w:tcPr>
          <w:p>
            <w:pPr>
              <w:spacing w:after="40" w:line="252" w:lineRule="auto"/>
            </w:pPr>
            <w:r>
              <w:rPr>
                <w:sz w:val="19"/>
              </w:rPr>
              <w:t>Citizens, herders, organizations</w:t>
            </w:r>
          </w:p>
        </w:tc>
        <w:tc>
          <w:tcPr>
            <w:tcW w:type="dxa" w:w="3900"/>
            <w:tcMar>
              <w:top w:w="80" w:type="dxa"/>
              <w:start w:w="120" w:type="dxa"/>
              <w:bottom w:w="80" w:type="dxa"/>
              <w:end w:w="120" w:type="dxa"/>
            </w:tcMar>
            <w:vAlign w:val="center"/>
            <w:shd w:fill="F8FAFC"/>
          </w:tcPr>
          <w:p>
            <w:pPr>
              <w:spacing w:after="40" w:line="252" w:lineRule="auto"/>
            </w:pPr>
            <w:r>
              <w:rPr>
                <w:sz w:val="19"/>
              </w:rPr>
              <w:t>Proper hand-over, providing information</w:t>
            </w:r>
          </w:p>
        </w:tc>
        <w:tc>
          <w:tcPr>
            <w:tcW w:type="dxa" w:w="3760"/>
            <w:tcMar>
              <w:top w:w="80" w:type="dxa"/>
              <w:start w:w="120" w:type="dxa"/>
              <w:bottom w:w="80" w:type="dxa"/>
              <w:end w:w="120" w:type="dxa"/>
            </w:tcMar>
            <w:vAlign w:val="center"/>
            <w:shd w:fill="F8FAFC"/>
          </w:tcPr>
          <w:p>
            <w:pPr>
              <w:spacing w:after="40" w:line="252" w:lineRule="auto"/>
            </w:pPr>
            <w:r>
              <w:rPr>
                <w:sz w:val="19"/>
              </w:rPr>
              <w:t>Reduced fire and pollution risk</w:t>
            </w:r>
          </w:p>
        </w:tc>
      </w:tr>
      <w:tr>
        <w:trPr>
          <w:cantSplit/>
        </w:trPr>
        <w:tc>
          <w:tcPr>
            <w:tcW w:type="dxa" w:w="1700"/>
            <w:tcMar>
              <w:top w:w="80" w:type="dxa"/>
              <w:start w:w="120" w:type="dxa"/>
              <w:bottom w:w="80" w:type="dxa"/>
              <w:end w:w="120" w:type="dxa"/>
            </w:tcMar>
            <w:vAlign w:val="center"/>
          </w:tcPr>
          <w:p>
            <w:pPr>
              <w:spacing w:after="40" w:line="252" w:lineRule="auto"/>
            </w:pPr>
            <w:r>
              <w:rPr>
                <w:sz w:val="19"/>
              </w:rPr>
              <w:t>Universities, laboratories</w:t>
            </w:r>
          </w:p>
        </w:tc>
        <w:tc>
          <w:tcPr>
            <w:tcW w:type="dxa" w:w="3900"/>
            <w:tcMar>
              <w:top w:w="80" w:type="dxa"/>
              <w:start w:w="120" w:type="dxa"/>
              <w:bottom w:w="80" w:type="dxa"/>
              <w:end w:w="120" w:type="dxa"/>
            </w:tcMar>
            <w:vAlign w:val="center"/>
          </w:tcPr>
          <w:p>
            <w:pPr>
              <w:spacing w:after="40" w:line="252" w:lineRule="auto"/>
            </w:pPr>
            <w:r>
              <w:rPr>
                <w:sz w:val="19"/>
              </w:rPr>
              <w:t>Methodology, research, human resources</w:t>
            </w:r>
          </w:p>
        </w:tc>
        <w:tc>
          <w:tcPr>
            <w:tcW w:type="dxa" w:w="3760"/>
            <w:tcMar>
              <w:top w:w="80" w:type="dxa"/>
              <w:start w:w="120" w:type="dxa"/>
              <w:bottom w:w="80" w:type="dxa"/>
              <w:end w:w="120" w:type="dxa"/>
            </w:tcMar>
            <w:vAlign w:val="center"/>
          </w:tcPr>
          <w:p>
            <w:pPr>
              <w:spacing w:after="40" w:line="252" w:lineRule="auto"/>
            </w:pPr>
            <w:r>
              <w:rPr>
                <w:sz w:val="19"/>
              </w:rPr>
              <w:t>Real case studies, research data</w:t>
            </w:r>
          </w:p>
        </w:tc>
      </w:tr>
      <w:tr>
        <w:trPr>
          <w:cantSplit/>
        </w:trPr>
        <w:tc>
          <w:tcPr>
            <w:tcW w:type="dxa" w:w="1700"/>
            <w:tcMar>
              <w:top w:w="80" w:type="dxa"/>
              <w:start w:w="120" w:type="dxa"/>
              <w:bottom w:w="80" w:type="dxa"/>
              <w:end w:w="120" w:type="dxa"/>
            </w:tcMar>
            <w:vAlign w:val="center"/>
            <w:shd w:fill="F8FAFC"/>
          </w:tcPr>
          <w:p>
            <w:pPr>
              <w:spacing w:after="40" w:line="252" w:lineRule="auto"/>
            </w:pPr>
            <w:r>
              <w:rPr>
                <w:sz w:val="19"/>
              </w:rPr>
              <w:t>Waste operators</w:t>
            </w:r>
          </w:p>
        </w:tc>
        <w:tc>
          <w:tcPr>
            <w:tcW w:type="dxa" w:w="3900"/>
            <w:tcMar>
              <w:top w:w="80" w:type="dxa"/>
              <w:start w:w="120" w:type="dxa"/>
              <w:bottom w:w="80" w:type="dxa"/>
              <w:end w:w="120" w:type="dxa"/>
            </w:tcMar>
            <w:vAlign w:val="center"/>
            <w:shd w:fill="F8FAFC"/>
          </w:tcPr>
          <w:p>
            <w:pPr>
              <w:spacing w:after="40" w:line="252" w:lineRule="auto"/>
            </w:pPr>
            <w:r>
              <w:rPr>
                <w:sz w:val="19"/>
              </w:rPr>
              <w:t>Logistics, storage, approved transfer</w:t>
            </w:r>
          </w:p>
        </w:tc>
        <w:tc>
          <w:tcPr>
            <w:tcW w:type="dxa" w:w="3760"/>
            <w:tcMar>
              <w:top w:w="80" w:type="dxa"/>
              <w:start w:w="120" w:type="dxa"/>
              <w:bottom w:w="80" w:type="dxa"/>
              <w:end w:w="120" w:type="dxa"/>
            </w:tcMar>
            <w:vAlign w:val="center"/>
            <w:shd w:fill="F8FAFC"/>
          </w:tcPr>
          <w:p>
            <w:pPr>
              <w:spacing w:after="40" w:line="252" w:lineRule="auto"/>
            </w:pPr>
            <w:r>
              <w:rPr>
                <w:sz w:val="19"/>
              </w:rPr>
              <w:t>New services, capacity</w:t>
            </w:r>
          </w:p>
        </w:tc>
      </w:tr>
      <w:tr>
        <w:trPr>
          <w:cantSplit/>
        </w:trPr>
        <w:tc>
          <w:tcPr>
            <w:tcW w:type="dxa" w:w="1700"/>
            <w:tcMar>
              <w:top w:w="80" w:type="dxa"/>
              <w:start w:w="120" w:type="dxa"/>
              <w:bottom w:w="80" w:type="dxa"/>
              <w:end w:w="120" w:type="dxa"/>
            </w:tcMar>
            <w:vAlign w:val="center"/>
          </w:tcPr>
          <w:p>
            <w:pPr>
              <w:spacing w:after="40" w:line="252" w:lineRule="auto"/>
            </w:pPr>
            <w:r>
              <w:rPr>
                <w:sz w:val="19"/>
              </w:rPr>
              <w:t>Emergency/fire services</w:t>
            </w:r>
          </w:p>
        </w:tc>
        <w:tc>
          <w:tcPr>
            <w:tcW w:type="dxa" w:w="3900"/>
            <w:tcMar>
              <w:top w:w="80" w:type="dxa"/>
              <w:start w:w="120" w:type="dxa"/>
              <w:bottom w:w="80" w:type="dxa"/>
              <w:end w:w="120" w:type="dxa"/>
            </w:tcMar>
            <w:vAlign w:val="center"/>
          </w:tcPr>
          <w:p>
            <w:pPr>
              <w:spacing w:after="40" w:line="252" w:lineRule="auto"/>
            </w:pPr>
            <w:r>
              <w:rPr>
                <w:sz w:val="19"/>
              </w:rPr>
              <w:t>Emergency planning, training, advice</w:t>
            </w:r>
          </w:p>
        </w:tc>
        <w:tc>
          <w:tcPr>
            <w:tcW w:type="dxa" w:w="3760"/>
            <w:tcMar>
              <w:top w:w="80" w:type="dxa"/>
              <w:start w:w="120" w:type="dxa"/>
              <w:bottom w:w="80" w:type="dxa"/>
              <w:end w:w="120" w:type="dxa"/>
            </w:tcMar>
            <w:vAlign w:val="center"/>
          </w:tcPr>
          <w:p>
            <w:pPr>
              <w:spacing w:after="40" w:line="252" w:lineRule="auto"/>
            </w:pPr>
            <w:r>
              <w:rPr>
                <w:sz w:val="19"/>
              </w:rPr>
              <w:t>Improved risk preparedness</w:t>
            </w:r>
          </w:p>
        </w:tc>
      </w:tr>
    </w:tbl>
    <w:p>
      <w:pPr>
        <w:spacing w:after="20"/>
      </w:pPr>
    </w:p>
    <w:p>
      <w:pPr>
        <w:pStyle w:val="Heading1"/>
      </w:pPr>
      <w:r>
        <w:t>6. Implementation Methodology and Work Packages</w:t>
      </w:r>
    </w:p>
    <w:p>
      <w:pPr>
        <w:pStyle w:val="Heading2"/>
      </w:pPr>
      <w:r>
        <w:t>WP1. Baseline Research and Regulatory Mapping (Months 1–3)</w:t>
      </w:r>
    </w:p>
    <w:p>
      <w:pPr>
        <w:pStyle w:val="ListBullet"/>
        <w:spacing w:after="80" w:line="290" w:lineRule="auto"/>
      </w:pPr>
      <w:r>
        <w:t>Conduct surveys, interviews, and voluntary data collection on battery sources.</w:t>
      </w:r>
    </w:p>
    <w:p>
      <w:pPr>
        <w:pStyle w:val="ListBullet"/>
        <w:spacing w:after="80" w:line="290" w:lineRule="auto"/>
      </w:pPr>
      <w:r>
        <w:t>Develop a provisional taxonomy by chemistry, form factor, and use-case category.</w:t>
      </w:r>
    </w:p>
    <w:p>
      <w:pPr>
        <w:pStyle w:val="ListBullet"/>
        <w:spacing w:after="80" w:line="290" w:lineRule="auto"/>
      </w:pPr>
      <w:r>
        <w:t>Produce a matrix of relevant laws, permits, standards, and reporting requirements.</w:t>
      </w:r>
    </w:p>
    <w:p>
      <w:pPr>
        <w:pStyle w:val="ListBullet"/>
        <w:spacing w:after="80" w:line="290" w:lineRule="auto"/>
      </w:pPr>
      <w:r>
        <w:t>Establish site-selection criteria and carry out a preliminary risk assessment.</w:t>
      </w:r>
    </w:p>
    <w:p>
      <w:pPr>
        <w:pStyle w:val="Heading2"/>
      </w:pPr>
      <w:r>
        <w:t>WP2. Center Design, Permitting, and Procurement (Months 2–7)</w:t>
      </w:r>
    </w:p>
    <w:p>
      <w:pPr>
        <w:pStyle w:val="ListBullet"/>
        <w:spacing w:after="80" w:line="290" w:lineRule="auto"/>
      </w:pPr>
      <w:r>
        <w:t>Plan the flow between clean/receiving/quarantine/diagnostics/storage/emergency zones.</w:t>
      </w:r>
    </w:p>
    <w:p>
      <w:pPr>
        <w:pStyle w:val="ListBullet"/>
        <w:spacing w:after="80" w:line="290" w:lineRule="auto"/>
      </w:pPr>
      <w:r>
        <w:t>Develop requirements for fire detection, thermal monitoring, ventilation, spill containment, and access control.</w:t>
      </w:r>
    </w:p>
    <w:p>
      <w:pPr>
        <w:pStyle w:val="ListBullet"/>
        <w:spacing w:after="80" w:line="290" w:lineRule="auto"/>
      </w:pPr>
      <w:r>
        <w:t>Prepare equipment technical specifications, obtain three price quotes, and evaluate procurement options.</w:t>
      </w:r>
    </w:p>
    <w:p>
      <w:pPr>
        <w:pStyle w:val="ListBullet"/>
        <w:spacing w:after="80" w:line="290" w:lineRule="auto"/>
      </w:pPr>
      <w:r>
        <w:t>Secure permits, insurance, and service contracts.</w:t>
      </w:r>
    </w:p>
    <w:p>
      <w:pPr>
        <w:pStyle w:val="Heading2"/>
      </w:pPr>
      <w:r>
        <w:t>WP3. SOPs, Training, and Emergency Preparedness (Months 4–9)</w:t>
      </w:r>
    </w:p>
    <w:p>
      <w:pPr>
        <w:pStyle w:val="ListBullet"/>
        <w:spacing w:after="80" w:line="290" w:lineRule="auto"/>
      </w:pPr>
      <w:r>
        <w:t>SOPs for receiving, rejecting, labeling, packaging, transporting, quarantining, diagnosing, classifying, and recording data.</w:t>
      </w:r>
    </w:p>
    <w:p>
      <w:pPr>
        <w:pStyle w:val="ListBullet"/>
        <w:spacing w:after="80" w:line="290" w:lineRule="auto"/>
      </w:pPr>
      <w:r>
        <w:t>Response procedures for thermal runaway, smoke, mechanical damage, electrolyte leakage, and electrical hazards.</w:t>
      </w:r>
    </w:p>
    <w:p>
      <w:pPr>
        <w:pStyle w:val="ListBullet"/>
        <w:spacing w:after="80" w:line="290" w:lineRule="auto"/>
      </w:pPr>
      <w:r>
        <w:t>Initial and refresher operator training; practical drills; competency assessment.</w:t>
      </w:r>
    </w:p>
    <w:p>
      <w:pPr>
        <w:pStyle w:val="Heading2"/>
      </w:pPr>
      <w:r>
        <w:t>WP4. Pilot Collection and Diagnostics (Months 8–15)</w:t>
      </w:r>
    </w:p>
    <w:p>
      <w:pPr>
        <w:pStyle w:val="ListBullet"/>
        <w:spacing w:after="80" w:line="290" w:lineRule="auto"/>
      </w:pPr>
      <w:r>
        <w:t>Test hand-over channels with a small number of partner collection points.</w:t>
      </w:r>
    </w:p>
    <w:p>
      <w:pPr>
        <w:pStyle w:val="ListBullet"/>
        <w:spacing w:after="80" w:line="290" w:lineRule="auto"/>
      </w:pPr>
      <w:r>
        <w:t>Register each battery under a unique ID, recording photos, origin, date, chemistry, and hazard status.</w:t>
      </w:r>
    </w:p>
    <w:p>
      <w:pPr>
        <w:pStyle w:val="ListBullet"/>
        <w:spacing w:after="80" w:line="290" w:lineRule="auto"/>
      </w:pPr>
      <w:r>
        <w:t>Carry out non-destructive diagnostics and assign an A/B/C/D decision classification.</w:t>
      </w:r>
    </w:p>
    <w:p>
      <w:pPr>
        <w:pStyle w:val="ListBullet"/>
        <w:spacing w:after="80" w:line="290" w:lineRule="auto"/>
      </w:pPr>
      <w:r>
        <w:t>Maintain chain-of-custody until transfer to an approved next holder.</w:t>
      </w:r>
    </w:p>
    <w:p>
      <w:pPr>
        <w:pStyle w:val="Heading2"/>
      </w:pPr>
      <w:r>
        <w:t>WP5. Evaluation, Policy Recommendations, and Scale-up Mapping (Months 14–18)</w:t>
      </w:r>
    </w:p>
    <w:p>
      <w:pPr>
        <w:pStyle w:val="ListBullet"/>
        <w:spacing w:after="80" w:line="290" w:lineRule="auto"/>
      </w:pPr>
      <w:r>
        <w:t>Analyze cost, safety performance, collection/return rates, and the classification breakdown.</w:t>
      </w:r>
    </w:p>
    <w:p>
      <w:pPr>
        <w:pStyle w:val="ListBullet"/>
        <w:spacing w:after="80" w:line="290" w:lineRule="auto"/>
      </w:pPr>
      <w:r>
        <w:t>Assess EPR financing, importer participation, and deposit/return scheme options.</w:t>
      </w:r>
    </w:p>
    <w:p>
      <w:pPr>
        <w:pStyle w:val="ListBullet"/>
        <w:spacing w:after="80" w:line="290" w:lineRule="auto"/>
      </w:pPr>
      <w:r>
        <w:t>Estimate next-stage capacity requirements from actual flow data.</w:t>
      </w:r>
    </w:p>
    <w:p>
      <w:pPr>
        <w:pStyle w:val="ListBullet"/>
        <w:spacing w:after="80" w:line="290" w:lineRule="auto"/>
      </w:pPr>
      <w:r>
        <w:t>Present the final report, policy recommendations, and a phased investment plan.</w:t>
      </w:r>
    </w:p>
    <w:p>
      <w:pPr>
        <w:pStyle w:val="Heading1"/>
      </w:pPr>
      <w:r>
        <w:t>7. Technical Operating Model</w:t>
      </w:r>
    </w:p>
    <w:tbl>
      <w:tblPr>
        <w:tblStyle w:val="TableGrid"/>
        <w:tblW w:type="dxa" w:w="9360"/>
        <w:jc w:val="center"/>
        <w:tblLayout w:type="fixed"/>
        <w:tblLook w:firstColumn="1" w:firstRow="1" w:lastColumn="0" w:lastRow="0" w:noHBand="0" w:noVBand="1" w:val="04A0"/>
        <w:tblInd w:w="120" w:type="dxa"/>
      </w:tblPr>
      <w:tblGrid>
        <w:gridCol w:w="1500"/>
        <w:gridCol w:w="4400"/>
        <w:gridCol w:w="3460"/>
      </w:tblGrid>
      <w:tr>
        <w:trPr>
          <w:tblHeader w:val="true"/>
          <w:cantSplit/>
        </w:trPr>
        <w:tc>
          <w:tcPr>
            <w:tcW w:type="dxa" w:w="1500"/>
            <w:tcMar>
              <w:top w:w="80" w:type="dxa"/>
              <w:start w:w="120" w:type="dxa"/>
              <w:bottom w:w="80" w:type="dxa"/>
              <w:end w:w="120" w:type="dxa"/>
            </w:tcMar>
            <w:vAlign w:val="center"/>
            <w:shd w:fill="1F4D78"/>
          </w:tcPr>
          <w:p>
            <w:pPr>
              <w:spacing w:after="40" w:line="252" w:lineRule="auto"/>
            </w:pPr>
            <w:r>
              <w:rPr>
                <w:b/>
                <w:color w:val="FFFFFF"/>
                <w:sz w:val="19"/>
              </w:rPr>
              <w:t>Step</w:t>
            </w:r>
          </w:p>
        </w:tc>
        <w:tc>
          <w:tcPr>
            <w:tcW w:type="dxa" w:w="4400"/>
            <w:tcMar>
              <w:top w:w="80" w:type="dxa"/>
              <w:start w:w="120" w:type="dxa"/>
              <w:bottom w:w="80" w:type="dxa"/>
              <w:end w:w="120" w:type="dxa"/>
            </w:tcMar>
            <w:vAlign w:val="center"/>
            <w:shd w:fill="1F4D78"/>
          </w:tcPr>
          <w:p>
            <w:pPr>
              <w:spacing w:after="40" w:line="252" w:lineRule="auto"/>
            </w:pPr>
            <w:r>
              <w:rPr>
                <w:b/>
                <w:color w:val="FFFFFF"/>
                <w:sz w:val="19"/>
              </w:rPr>
              <w:t>Action</w:t>
            </w:r>
          </w:p>
        </w:tc>
        <w:tc>
          <w:tcPr>
            <w:tcW w:type="dxa" w:w="3460"/>
            <w:tcMar>
              <w:top w:w="80" w:type="dxa"/>
              <w:start w:w="120" w:type="dxa"/>
              <w:bottom w:w="80" w:type="dxa"/>
              <w:end w:w="120" w:type="dxa"/>
            </w:tcMar>
            <w:vAlign w:val="center"/>
            <w:shd w:fill="1F4D78"/>
          </w:tcPr>
          <w:p>
            <w:pPr>
              <w:spacing w:after="40" w:line="252" w:lineRule="auto"/>
            </w:pPr>
            <w:r>
              <w:rPr>
                <w:b/>
                <w:color w:val="FFFFFF"/>
                <w:sz w:val="19"/>
              </w:rPr>
              <w:t>Output</w:t>
            </w:r>
          </w:p>
        </w:tc>
      </w:tr>
      <w:tr>
        <w:trPr>
          <w:cantSplit/>
        </w:trPr>
        <w:tc>
          <w:tcPr>
            <w:tcW w:type="dxa" w:w="1500"/>
            <w:tcMar>
              <w:top w:w="80" w:type="dxa"/>
              <w:start w:w="120" w:type="dxa"/>
              <w:bottom w:w="80" w:type="dxa"/>
              <w:end w:w="120" w:type="dxa"/>
            </w:tcMar>
            <w:vAlign w:val="center"/>
          </w:tcPr>
          <w:p>
            <w:pPr>
              <w:spacing w:after="40" w:line="252" w:lineRule="auto"/>
            </w:pPr>
            <w:r>
              <w:rPr>
                <w:sz w:val="19"/>
              </w:rPr>
              <w:t>1. Advance Notification</w:t>
            </w:r>
          </w:p>
        </w:tc>
        <w:tc>
          <w:tcPr>
            <w:tcW w:type="dxa" w:w="4400"/>
            <w:tcMar>
              <w:top w:w="80" w:type="dxa"/>
              <w:start w:w="120" w:type="dxa"/>
              <w:bottom w:w="80" w:type="dxa"/>
              <w:end w:w="120" w:type="dxa"/>
            </w:tcMar>
            <w:vAlign w:val="center"/>
          </w:tcPr>
          <w:p>
            <w:pPr>
              <w:spacing w:after="40" w:line="252" w:lineRule="auto"/>
            </w:pPr>
            <w:r>
              <w:rPr>
                <w:sz w:val="19"/>
              </w:rPr>
              <w:t>Obtain information on source, type, damage, and quantity</w:t>
            </w:r>
          </w:p>
        </w:tc>
        <w:tc>
          <w:tcPr>
            <w:tcW w:type="dxa" w:w="3460"/>
            <w:tcMar>
              <w:top w:w="80" w:type="dxa"/>
              <w:start w:w="120" w:type="dxa"/>
              <w:bottom w:w="80" w:type="dxa"/>
              <w:end w:w="120" w:type="dxa"/>
            </w:tcMar>
            <w:vAlign w:val="center"/>
          </w:tcPr>
          <w:p>
            <w:pPr>
              <w:spacing w:after="40" w:line="252" w:lineRule="auto"/>
            </w:pPr>
            <w:r>
              <w:rPr>
                <w:sz w:val="19"/>
              </w:rPr>
              <w:t>Preliminary accept/reject decision</w:t>
            </w:r>
          </w:p>
        </w:tc>
      </w:tr>
      <w:tr>
        <w:trPr>
          <w:cantSplit/>
        </w:trPr>
        <w:tc>
          <w:tcPr>
            <w:tcW w:type="dxa" w:w="1500"/>
            <w:tcMar>
              <w:top w:w="80" w:type="dxa"/>
              <w:start w:w="120" w:type="dxa"/>
              <w:bottom w:w="80" w:type="dxa"/>
              <w:end w:w="120" w:type="dxa"/>
            </w:tcMar>
            <w:vAlign w:val="center"/>
            <w:shd w:fill="F8FAFC"/>
          </w:tcPr>
          <w:p>
            <w:pPr>
              <w:spacing w:after="40" w:line="252" w:lineRule="auto"/>
            </w:pPr>
            <w:r>
              <w:rPr>
                <w:sz w:val="19"/>
              </w:rPr>
              <w:t>2. Receiving</w:t>
            </w:r>
          </w:p>
        </w:tc>
        <w:tc>
          <w:tcPr>
            <w:tcW w:type="dxa" w:w="4400"/>
            <w:tcMar>
              <w:top w:w="80" w:type="dxa"/>
              <w:start w:w="120" w:type="dxa"/>
              <w:bottom w:w="80" w:type="dxa"/>
              <w:end w:w="120" w:type="dxa"/>
            </w:tcMar>
            <w:vAlign w:val="center"/>
            <w:shd w:fill="F8FAFC"/>
          </w:tcPr>
          <w:p>
            <w:pPr>
              <w:spacing w:after="40" w:line="252" w:lineRule="auto"/>
            </w:pPr>
            <w:r>
              <w:rPr>
                <w:sz w:val="19"/>
              </w:rPr>
              <w:t>Documentation, photos, weight, labeling, external inspection</w:t>
            </w:r>
          </w:p>
        </w:tc>
        <w:tc>
          <w:tcPr>
            <w:tcW w:type="dxa" w:w="3460"/>
            <w:tcMar>
              <w:top w:w="80" w:type="dxa"/>
              <w:start w:w="120" w:type="dxa"/>
              <w:bottom w:w="80" w:type="dxa"/>
              <w:end w:w="120" w:type="dxa"/>
            </w:tcMar>
            <w:vAlign w:val="center"/>
            <w:shd w:fill="F8FAFC"/>
          </w:tcPr>
          <w:p>
            <w:pPr>
              <w:spacing w:after="40" w:line="252" w:lineRule="auto"/>
            </w:pPr>
            <w:r>
              <w:rPr>
                <w:sz w:val="19"/>
              </w:rPr>
              <w:t>Unique ID and record</w:t>
            </w:r>
          </w:p>
        </w:tc>
      </w:tr>
      <w:tr>
        <w:trPr>
          <w:cantSplit/>
        </w:trPr>
        <w:tc>
          <w:tcPr>
            <w:tcW w:type="dxa" w:w="1500"/>
            <w:tcMar>
              <w:top w:w="80" w:type="dxa"/>
              <w:start w:w="120" w:type="dxa"/>
              <w:bottom w:w="80" w:type="dxa"/>
              <w:end w:w="120" w:type="dxa"/>
            </w:tcMar>
            <w:vAlign w:val="center"/>
          </w:tcPr>
          <w:p>
            <w:pPr>
              <w:spacing w:after="40" w:line="252" w:lineRule="auto"/>
            </w:pPr>
            <w:r>
              <w:rPr>
                <w:sz w:val="19"/>
              </w:rPr>
              <w:t>3. Quarantine</w:t>
            </w:r>
          </w:p>
        </w:tc>
        <w:tc>
          <w:tcPr>
            <w:tcW w:type="dxa" w:w="4400"/>
            <w:tcMar>
              <w:top w:w="80" w:type="dxa"/>
              <w:start w:w="120" w:type="dxa"/>
              <w:bottom w:w="80" w:type="dxa"/>
              <w:end w:w="120" w:type="dxa"/>
            </w:tcMar>
            <w:vAlign w:val="center"/>
          </w:tcPr>
          <w:p>
            <w:pPr>
              <w:spacing w:after="40" w:line="252" w:lineRule="auto"/>
            </w:pPr>
            <w:r>
              <w:rPr>
                <w:sz w:val="19"/>
              </w:rPr>
              <w:t>Isolate units that are damaged, overheating, or leaking</w:t>
            </w:r>
          </w:p>
        </w:tc>
        <w:tc>
          <w:tcPr>
            <w:tcW w:type="dxa" w:w="3460"/>
            <w:tcMar>
              <w:top w:w="80" w:type="dxa"/>
              <w:start w:w="120" w:type="dxa"/>
              <w:bottom w:w="80" w:type="dxa"/>
              <w:end w:w="120" w:type="dxa"/>
            </w:tcMar>
            <w:vAlign w:val="center"/>
          </w:tcPr>
          <w:p>
            <w:pPr>
              <w:spacing w:after="40" w:line="252" w:lineRule="auto"/>
            </w:pPr>
            <w:r>
              <w:rPr>
                <w:sz w:val="19"/>
              </w:rPr>
              <w:t>Hazard level</w:t>
            </w:r>
          </w:p>
        </w:tc>
      </w:tr>
      <w:tr>
        <w:trPr>
          <w:cantSplit/>
        </w:trPr>
        <w:tc>
          <w:tcPr>
            <w:tcW w:type="dxa" w:w="1500"/>
            <w:tcMar>
              <w:top w:w="80" w:type="dxa"/>
              <w:start w:w="120" w:type="dxa"/>
              <w:bottom w:w="80" w:type="dxa"/>
              <w:end w:w="120" w:type="dxa"/>
            </w:tcMar>
            <w:vAlign w:val="center"/>
            <w:shd w:fill="F8FAFC"/>
          </w:tcPr>
          <w:p>
            <w:pPr>
              <w:spacing w:after="40" w:line="252" w:lineRule="auto"/>
            </w:pPr>
            <w:r>
              <w:rPr>
                <w:sz w:val="19"/>
              </w:rPr>
              <w:t>4. Diagnostics</w:t>
            </w:r>
          </w:p>
        </w:tc>
        <w:tc>
          <w:tcPr>
            <w:tcW w:type="dxa" w:w="4400"/>
            <w:tcMar>
              <w:top w:w="80" w:type="dxa"/>
              <w:start w:w="120" w:type="dxa"/>
              <w:bottom w:w="80" w:type="dxa"/>
              <w:end w:w="120" w:type="dxa"/>
            </w:tcMar>
            <w:vAlign w:val="center"/>
            <w:shd w:fill="F8FAFC"/>
          </w:tcPr>
          <w:p>
            <w:pPr>
              <w:spacing w:after="40" w:line="252" w:lineRule="auto"/>
            </w:pPr>
            <w:r>
              <w:rPr>
                <w:sz w:val="19"/>
              </w:rPr>
              <w:t>Voltage, temperature, and insulation checks; BMS/SOH readout where possible</w:t>
            </w:r>
          </w:p>
        </w:tc>
        <w:tc>
          <w:tcPr>
            <w:tcW w:type="dxa" w:w="3460"/>
            <w:tcMar>
              <w:top w:w="80" w:type="dxa"/>
              <w:start w:w="120" w:type="dxa"/>
              <w:bottom w:w="80" w:type="dxa"/>
              <w:end w:w="120" w:type="dxa"/>
            </w:tcMar>
            <w:vAlign w:val="center"/>
            <w:shd w:fill="F8FAFC"/>
          </w:tcPr>
          <w:p>
            <w:pPr>
              <w:spacing w:after="40" w:line="252" w:lineRule="auto"/>
            </w:pPr>
            <w:r>
              <w:rPr>
                <w:sz w:val="19"/>
              </w:rPr>
              <w:t>Technical result</w:t>
            </w:r>
          </w:p>
        </w:tc>
      </w:tr>
      <w:tr>
        <w:trPr>
          <w:cantSplit/>
        </w:trPr>
        <w:tc>
          <w:tcPr>
            <w:tcW w:type="dxa" w:w="1500"/>
            <w:tcMar>
              <w:top w:w="80" w:type="dxa"/>
              <w:start w:w="120" w:type="dxa"/>
              <w:bottom w:w="80" w:type="dxa"/>
              <w:end w:w="120" w:type="dxa"/>
            </w:tcMar>
            <w:vAlign w:val="center"/>
          </w:tcPr>
          <w:p>
            <w:pPr>
              <w:spacing w:after="40" w:line="252" w:lineRule="auto"/>
            </w:pPr>
            <w:r>
              <w:rPr>
                <w:sz w:val="19"/>
              </w:rPr>
              <w:t>5. Classification</w:t>
            </w:r>
          </w:p>
        </w:tc>
        <w:tc>
          <w:tcPr>
            <w:tcW w:type="dxa" w:w="4400"/>
            <w:tcMar>
              <w:top w:w="80" w:type="dxa"/>
              <w:start w:w="120" w:type="dxa"/>
              <w:bottom w:w="80" w:type="dxa"/>
              <w:end w:w="120" w:type="dxa"/>
            </w:tcMar>
            <w:vAlign w:val="center"/>
          </w:tcPr>
          <w:p>
            <w:pPr>
              <w:spacing w:after="40" w:line="252" w:lineRule="auto"/>
            </w:pPr>
            <w:r>
              <w:rPr>
                <w:sz w:val="19"/>
              </w:rPr>
              <w:t>Decide using pre-approved criteria</w:t>
            </w:r>
          </w:p>
        </w:tc>
        <w:tc>
          <w:tcPr>
            <w:tcW w:type="dxa" w:w="3460"/>
            <w:tcMar>
              <w:top w:w="80" w:type="dxa"/>
              <w:start w:w="120" w:type="dxa"/>
              <w:bottom w:w="80" w:type="dxa"/>
              <w:end w:w="120" w:type="dxa"/>
            </w:tcMar>
            <w:vAlign w:val="center"/>
          </w:tcPr>
          <w:p>
            <w:pPr>
              <w:spacing w:after="40" w:line="252" w:lineRule="auto"/>
            </w:pPr>
            <w:r>
              <w:rPr>
                <w:sz w:val="19"/>
              </w:rPr>
              <w:t>A/B/C/D classification</w:t>
            </w:r>
          </w:p>
        </w:tc>
      </w:tr>
      <w:tr>
        <w:trPr>
          <w:cantSplit/>
        </w:trPr>
        <w:tc>
          <w:tcPr>
            <w:tcW w:type="dxa" w:w="1500"/>
            <w:tcMar>
              <w:top w:w="80" w:type="dxa"/>
              <w:start w:w="120" w:type="dxa"/>
              <w:bottom w:w="80" w:type="dxa"/>
              <w:end w:w="120" w:type="dxa"/>
            </w:tcMar>
            <w:vAlign w:val="center"/>
            <w:shd w:fill="F8FAFC"/>
          </w:tcPr>
          <w:p>
            <w:pPr>
              <w:spacing w:after="40" w:line="252" w:lineRule="auto"/>
            </w:pPr>
            <w:r>
              <w:rPr>
                <w:sz w:val="19"/>
              </w:rPr>
              <w:t>6. Storage</w:t>
            </w:r>
          </w:p>
        </w:tc>
        <w:tc>
          <w:tcPr>
            <w:tcW w:type="dxa" w:w="4400"/>
            <w:tcMar>
              <w:top w:w="80" w:type="dxa"/>
              <w:start w:w="120" w:type="dxa"/>
              <w:bottom w:w="80" w:type="dxa"/>
              <w:end w:w="120" w:type="dxa"/>
            </w:tcMar>
            <w:vAlign w:val="center"/>
            <w:shd w:fill="F8FAFC"/>
          </w:tcPr>
          <w:p>
            <w:pPr>
              <w:spacing w:after="40" w:line="252" w:lineRule="auto"/>
            </w:pPr>
            <w:r>
              <w:rPr>
                <w:sz w:val="19"/>
              </w:rPr>
              <w:t>Segregate by chemistry, condition, and hazard level</w:t>
            </w:r>
          </w:p>
        </w:tc>
        <w:tc>
          <w:tcPr>
            <w:tcW w:type="dxa" w:w="3460"/>
            <w:tcMar>
              <w:top w:w="80" w:type="dxa"/>
              <w:start w:w="120" w:type="dxa"/>
              <w:bottom w:w="80" w:type="dxa"/>
              <w:end w:w="120" w:type="dxa"/>
            </w:tcMar>
            <w:vAlign w:val="center"/>
            <w:shd w:fill="F8FAFC"/>
          </w:tcPr>
          <w:p>
            <w:pPr>
              <w:spacing w:after="40" w:line="252" w:lineRule="auto"/>
            </w:pPr>
            <w:r>
              <w:rPr>
                <w:sz w:val="19"/>
              </w:rPr>
              <w:t>Safe temporary storage</w:t>
            </w:r>
          </w:p>
        </w:tc>
      </w:tr>
      <w:tr>
        <w:trPr>
          <w:cantSplit/>
        </w:trPr>
        <w:tc>
          <w:tcPr>
            <w:tcW w:type="dxa" w:w="1500"/>
            <w:tcMar>
              <w:top w:w="80" w:type="dxa"/>
              <w:start w:w="120" w:type="dxa"/>
              <w:bottom w:w="80" w:type="dxa"/>
              <w:end w:w="120" w:type="dxa"/>
            </w:tcMar>
            <w:vAlign w:val="center"/>
          </w:tcPr>
          <w:p>
            <w:pPr>
              <w:spacing w:after="40" w:line="252" w:lineRule="auto"/>
            </w:pPr>
            <w:r>
              <w:rPr>
                <w:sz w:val="19"/>
              </w:rPr>
              <w:t>7. Transfer</w:t>
            </w:r>
          </w:p>
        </w:tc>
        <w:tc>
          <w:tcPr>
            <w:tcW w:type="dxa" w:w="4400"/>
            <w:tcMar>
              <w:top w:w="80" w:type="dxa"/>
              <w:start w:w="120" w:type="dxa"/>
              <w:bottom w:w="80" w:type="dxa"/>
              <w:end w:w="120" w:type="dxa"/>
            </w:tcMar>
            <w:vAlign w:val="center"/>
          </w:tcPr>
          <w:p>
            <w:pPr>
              <w:spacing w:after="40" w:line="252" w:lineRule="auto"/>
            </w:pPr>
            <w:r>
              <w:rPr>
                <w:sz w:val="19"/>
              </w:rPr>
              <w:t>Confirm documentation, recipient, date, weight</w:t>
            </w:r>
          </w:p>
        </w:tc>
        <w:tc>
          <w:tcPr>
            <w:tcW w:type="dxa" w:w="3460"/>
            <w:tcMar>
              <w:top w:w="80" w:type="dxa"/>
              <w:start w:w="120" w:type="dxa"/>
              <w:bottom w:w="80" w:type="dxa"/>
              <w:end w:w="120" w:type="dxa"/>
            </w:tcMar>
            <w:vAlign w:val="center"/>
          </w:tcPr>
          <w:p>
            <w:pPr>
              <w:spacing w:after="40" w:line="252" w:lineRule="auto"/>
            </w:pPr>
            <w:r>
              <w:rPr>
                <w:sz w:val="19"/>
              </w:rPr>
              <w:t>Chain-of-custody record</w:t>
            </w:r>
          </w:p>
        </w:tc>
      </w:tr>
    </w:tbl>
    <w:p>
      <w:pPr>
        <w:spacing w:after="20"/>
      </w:pPr>
    </w:p>
    <w:p>
      <w:pPr>
        <w:pStyle w:val="Heading2"/>
      </w:pPr>
      <w:r>
        <w:t>7.1 Proposed Decision Classification</w:t>
      </w:r>
    </w:p>
    <w:tbl>
      <w:tblPr>
        <w:tblStyle w:val="TableGrid"/>
        <w:tblW w:type="dxa" w:w="9360"/>
        <w:jc w:val="center"/>
        <w:tblLayout w:type="fixed"/>
        <w:tblLook w:firstColumn="1" w:firstRow="1" w:lastColumn="0" w:lastRow="0" w:noHBand="0" w:noVBand="1" w:val="04A0"/>
        <w:tblInd w:w="120" w:type="dxa"/>
      </w:tblPr>
      <w:tblGrid>
        <w:gridCol w:w="1100"/>
        <w:gridCol w:w="4720"/>
        <w:gridCol w:w="3540"/>
      </w:tblGrid>
      <w:tr>
        <w:trPr>
          <w:tblHeader w:val="true"/>
          <w:cantSplit/>
        </w:trPr>
        <w:tc>
          <w:tcPr>
            <w:tcW w:type="dxa" w:w="1100"/>
            <w:tcMar>
              <w:top w:w="80" w:type="dxa"/>
              <w:start w:w="120" w:type="dxa"/>
              <w:bottom w:w="80" w:type="dxa"/>
              <w:end w:w="120" w:type="dxa"/>
            </w:tcMar>
            <w:vAlign w:val="center"/>
            <w:shd w:fill="1F4D78"/>
          </w:tcPr>
          <w:p>
            <w:pPr>
              <w:spacing w:after="40" w:line="252" w:lineRule="auto"/>
            </w:pPr>
            <w:r>
              <w:rPr>
                <w:b/>
                <w:color w:val="FFFFFF"/>
                <w:sz w:val="19"/>
              </w:rPr>
              <w:t>Category</w:t>
            </w:r>
          </w:p>
        </w:tc>
        <w:tc>
          <w:tcPr>
            <w:tcW w:type="dxa" w:w="4720"/>
            <w:tcMar>
              <w:top w:w="80" w:type="dxa"/>
              <w:start w:w="120" w:type="dxa"/>
              <w:bottom w:w="80" w:type="dxa"/>
              <w:end w:w="120" w:type="dxa"/>
            </w:tcMar>
            <w:vAlign w:val="center"/>
            <w:shd w:fill="1F4D78"/>
          </w:tcPr>
          <w:p>
            <w:pPr>
              <w:spacing w:after="40" w:line="252" w:lineRule="auto"/>
            </w:pPr>
            <w:r>
              <w:rPr>
                <w:b/>
                <w:color w:val="FFFFFF"/>
                <w:sz w:val="19"/>
              </w:rPr>
              <w:t>Description</w:t>
            </w:r>
          </w:p>
        </w:tc>
        <w:tc>
          <w:tcPr>
            <w:tcW w:type="dxa" w:w="3540"/>
            <w:tcMar>
              <w:top w:w="80" w:type="dxa"/>
              <w:start w:w="120" w:type="dxa"/>
              <w:bottom w:w="80" w:type="dxa"/>
              <w:end w:w="120" w:type="dxa"/>
            </w:tcMar>
            <w:vAlign w:val="center"/>
            <w:shd w:fill="1F4D78"/>
          </w:tcPr>
          <w:p>
            <w:pPr>
              <w:spacing w:after="40" w:line="252" w:lineRule="auto"/>
            </w:pPr>
            <w:r>
              <w:rPr>
                <w:b/>
                <w:color w:val="FFFFFF"/>
                <w:sz w:val="19"/>
              </w:rPr>
              <w:t>Next Destination</w:t>
            </w:r>
          </w:p>
        </w:tc>
      </w:tr>
      <w:tr>
        <w:trPr>
          <w:cantSplit/>
        </w:trPr>
        <w:tc>
          <w:tcPr>
            <w:tcW w:type="dxa" w:w="1100"/>
            <w:tcMar>
              <w:top w:w="80" w:type="dxa"/>
              <w:start w:w="120" w:type="dxa"/>
              <w:bottom w:w="80" w:type="dxa"/>
              <w:end w:w="120" w:type="dxa"/>
            </w:tcMar>
            <w:vAlign w:val="center"/>
          </w:tcPr>
          <w:p>
            <w:pPr>
              <w:spacing w:after="40" w:line="252" w:lineRule="auto"/>
            </w:pPr>
            <w:r>
              <w:rPr>
                <w:sz w:val="19"/>
              </w:rPr>
              <w:t>A</w:t>
            </w:r>
          </w:p>
        </w:tc>
        <w:tc>
          <w:tcPr>
            <w:tcW w:type="dxa" w:w="4720"/>
            <w:tcMar>
              <w:top w:w="80" w:type="dxa"/>
              <w:start w:w="120" w:type="dxa"/>
              <w:bottom w:w="80" w:type="dxa"/>
              <w:end w:w="120" w:type="dxa"/>
            </w:tcMar>
            <w:vAlign w:val="center"/>
          </w:tcPr>
          <w:p>
            <w:pPr>
              <w:spacing w:after="40" w:line="252" w:lineRule="auto"/>
            </w:pPr>
            <w:r>
              <w:rPr>
                <w:sz w:val="19"/>
              </w:rPr>
              <w:t>Passes diagnostics and can be reused in a validated application</w:t>
            </w:r>
          </w:p>
        </w:tc>
        <w:tc>
          <w:tcPr>
            <w:tcW w:type="dxa" w:w="3540"/>
            <w:tcMar>
              <w:top w:w="80" w:type="dxa"/>
              <w:start w:w="120" w:type="dxa"/>
              <w:bottom w:w="80" w:type="dxa"/>
              <w:end w:w="120" w:type="dxa"/>
            </w:tcMar>
            <w:vAlign w:val="center"/>
          </w:tcPr>
          <w:p>
            <w:pPr>
              <w:spacing w:after="40" w:line="252" w:lineRule="auto"/>
            </w:pPr>
            <w:r>
              <w:rPr>
                <w:sz w:val="19"/>
              </w:rPr>
              <w:t>Further engineering validation / second-life testing</w:t>
            </w:r>
          </w:p>
        </w:tc>
      </w:tr>
      <w:tr>
        <w:trPr>
          <w:cantSplit/>
        </w:trPr>
        <w:tc>
          <w:tcPr>
            <w:tcW w:type="dxa" w:w="1100"/>
            <w:tcMar>
              <w:top w:w="80" w:type="dxa"/>
              <w:start w:w="120" w:type="dxa"/>
              <w:bottom w:w="80" w:type="dxa"/>
              <w:end w:w="120" w:type="dxa"/>
            </w:tcMar>
            <w:vAlign w:val="center"/>
            <w:shd w:fill="F8FAFC"/>
          </w:tcPr>
          <w:p>
            <w:pPr>
              <w:spacing w:after="40" w:line="252" w:lineRule="auto"/>
            </w:pPr>
            <w:r>
              <w:rPr>
                <w:sz w:val="19"/>
              </w:rPr>
              <w:t>B</w:t>
            </w:r>
          </w:p>
        </w:tc>
        <w:tc>
          <w:tcPr>
            <w:tcW w:type="dxa" w:w="4720"/>
            <w:tcMar>
              <w:top w:w="80" w:type="dxa"/>
              <w:start w:w="120" w:type="dxa"/>
              <w:bottom w:w="80" w:type="dxa"/>
              <w:end w:w="120" w:type="dxa"/>
            </w:tcMar>
            <w:vAlign w:val="center"/>
            <w:shd w:fill="F8FAFC"/>
          </w:tcPr>
          <w:p>
            <w:pPr>
              <w:spacing w:after="40" w:line="252" w:lineRule="auto"/>
            </w:pPr>
            <w:r>
              <w:rPr>
                <w:sz w:val="19"/>
              </w:rPr>
              <w:t>Requires repair or detailed module-level evaluation</w:t>
            </w:r>
          </w:p>
        </w:tc>
        <w:tc>
          <w:tcPr>
            <w:tcW w:type="dxa" w:w="3540"/>
            <w:tcMar>
              <w:top w:w="80" w:type="dxa"/>
              <w:start w:w="120" w:type="dxa"/>
              <w:bottom w:w="80" w:type="dxa"/>
              <w:end w:w="120" w:type="dxa"/>
            </w:tcMar>
            <w:vAlign w:val="center"/>
            <w:shd w:fill="F8FAFC"/>
          </w:tcPr>
          <w:p>
            <w:pPr>
              <w:spacing w:after="40" w:line="252" w:lineRule="auto"/>
            </w:pPr>
            <w:r>
              <w:rPr>
                <w:sz w:val="19"/>
              </w:rPr>
              <w:t>Approved specialist partner</w:t>
            </w:r>
          </w:p>
        </w:tc>
      </w:tr>
      <w:tr>
        <w:trPr>
          <w:cantSplit/>
        </w:trPr>
        <w:tc>
          <w:tcPr>
            <w:tcW w:type="dxa" w:w="1100"/>
            <w:tcMar>
              <w:top w:w="80" w:type="dxa"/>
              <w:start w:w="120" w:type="dxa"/>
              <w:bottom w:w="80" w:type="dxa"/>
              <w:end w:w="120" w:type="dxa"/>
            </w:tcMar>
            <w:vAlign w:val="center"/>
          </w:tcPr>
          <w:p>
            <w:pPr>
              <w:spacing w:after="40" w:line="252" w:lineRule="auto"/>
            </w:pPr>
            <w:r>
              <w:rPr>
                <w:sz w:val="19"/>
              </w:rPr>
              <w:t>C</w:t>
            </w:r>
          </w:p>
        </w:tc>
        <w:tc>
          <w:tcPr>
            <w:tcW w:type="dxa" w:w="4720"/>
            <w:tcMar>
              <w:top w:w="80" w:type="dxa"/>
              <w:start w:w="120" w:type="dxa"/>
              <w:bottom w:w="80" w:type="dxa"/>
              <w:end w:w="120" w:type="dxa"/>
            </w:tcMar>
            <w:vAlign w:val="center"/>
          </w:tcPr>
          <w:p>
            <w:pPr>
              <w:spacing w:after="40" w:line="252" w:lineRule="auto"/>
            </w:pPr>
            <w:r>
              <w:rPr>
                <w:sz w:val="19"/>
              </w:rPr>
              <w:t>Not reusable; routed to material-recovery stream</w:t>
            </w:r>
          </w:p>
        </w:tc>
        <w:tc>
          <w:tcPr>
            <w:tcW w:type="dxa" w:w="3540"/>
            <w:tcMar>
              <w:top w:w="80" w:type="dxa"/>
              <w:start w:w="120" w:type="dxa"/>
              <w:bottom w:w="80" w:type="dxa"/>
              <w:end w:w="120" w:type="dxa"/>
            </w:tcMar>
            <w:vAlign w:val="center"/>
          </w:tcPr>
          <w:p>
            <w:pPr>
              <w:spacing w:after="40" w:line="252" w:lineRule="auto"/>
            </w:pPr>
            <w:r>
              <w:rPr>
                <w:sz w:val="19"/>
              </w:rPr>
              <w:t>Approved recycling operator</w:t>
            </w:r>
          </w:p>
        </w:tc>
      </w:tr>
      <w:tr>
        <w:trPr>
          <w:cantSplit/>
        </w:trPr>
        <w:tc>
          <w:tcPr>
            <w:tcW w:type="dxa" w:w="1100"/>
            <w:tcMar>
              <w:top w:w="80" w:type="dxa"/>
              <w:start w:w="120" w:type="dxa"/>
              <w:bottom w:w="80" w:type="dxa"/>
              <w:end w:w="120" w:type="dxa"/>
            </w:tcMar>
            <w:vAlign w:val="center"/>
            <w:shd w:fill="F8FAFC"/>
          </w:tcPr>
          <w:p>
            <w:pPr>
              <w:spacing w:after="40" w:line="252" w:lineRule="auto"/>
            </w:pPr>
            <w:r>
              <w:rPr>
                <w:sz w:val="19"/>
              </w:rPr>
              <w:t>D</w:t>
            </w:r>
          </w:p>
        </w:tc>
        <w:tc>
          <w:tcPr>
            <w:tcW w:type="dxa" w:w="4720"/>
            <w:tcMar>
              <w:top w:w="80" w:type="dxa"/>
              <w:start w:w="120" w:type="dxa"/>
              <w:bottom w:w="80" w:type="dxa"/>
              <w:end w:w="120" w:type="dxa"/>
            </w:tcMar>
            <w:vAlign w:val="center"/>
            <w:shd w:fill="F8FAFC"/>
          </w:tcPr>
          <w:p>
            <w:pPr>
              <w:spacing w:after="40" w:line="252" w:lineRule="auto"/>
            </w:pPr>
            <w:r>
              <w:rPr>
                <w:sz w:val="19"/>
              </w:rPr>
              <w:t>Damaged, overheating, leaking, or of undetermined high risk</w:t>
            </w:r>
          </w:p>
        </w:tc>
        <w:tc>
          <w:tcPr>
            <w:tcW w:type="dxa" w:w="3540"/>
            <w:tcMar>
              <w:top w:w="80" w:type="dxa"/>
              <w:start w:w="120" w:type="dxa"/>
              <w:bottom w:w="80" w:type="dxa"/>
              <w:end w:w="120" w:type="dxa"/>
            </w:tcMar>
            <w:vAlign w:val="center"/>
            <w:shd w:fill="F8FAFC"/>
          </w:tcPr>
          <w:p>
            <w:pPr>
              <w:spacing w:after="40" w:line="252" w:lineRule="auto"/>
            </w:pPr>
            <w:r>
              <w:rPr>
                <w:sz w:val="19"/>
              </w:rPr>
              <w:t>Quarantine and special handling</w:t>
            </w:r>
          </w:p>
        </w:tc>
      </w:tr>
    </w:tbl>
    <w:p>
      <w:pPr>
        <w:spacing w:after="20"/>
      </w:pPr>
    </w:p>
    <w:p>
      <w:r>
        <w:t>Classification thresholds will be set according to battery chemistry, manufacturer technical data, test-equipment precision, intended use, and professional engineering judgment. A single, universal SOH threshold will not be applied to all batteries.</w:t>
      </w:r>
    </w:p>
    <w:p>
      <w:pPr>
        <w:pStyle w:val="Heading1"/>
      </w:pPr>
      <w:r>
        <w:t>8. Equipment and Infrastructure Requirements</w:t>
      </w:r>
    </w:p>
    <w:tbl>
      <w:tblPr>
        <w:tblStyle w:val="TableGrid"/>
        <w:tblW w:type="dxa" w:w="9360"/>
        <w:jc w:val="center"/>
        <w:tblLayout w:type="fixed"/>
        <w:tblLook w:firstColumn="1" w:firstRow="1" w:lastColumn="0" w:lastRow="0" w:noHBand="0" w:noVBand="1" w:val="04A0"/>
        <w:tblInd w:w="120" w:type="dxa"/>
      </w:tblPr>
      <w:tblGrid>
        <w:gridCol w:w="1700"/>
        <w:gridCol w:w="3800"/>
        <w:gridCol w:w="3860"/>
      </w:tblGrid>
      <w:tr>
        <w:trPr>
          <w:tblHeader w:val="true"/>
          <w:cantSplit/>
        </w:trPr>
        <w:tc>
          <w:tcPr>
            <w:tcW w:type="dxa" w:w="1700"/>
            <w:tcMar>
              <w:top w:w="80" w:type="dxa"/>
              <w:start w:w="120" w:type="dxa"/>
              <w:bottom w:w="80" w:type="dxa"/>
              <w:end w:w="120" w:type="dxa"/>
            </w:tcMar>
            <w:vAlign w:val="center"/>
            <w:shd w:fill="1F4D78"/>
          </w:tcPr>
          <w:p>
            <w:pPr>
              <w:spacing w:after="40" w:line="252" w:lineRule="auto"/>
            </w:pPr>
            <w:r>
              <w:rPr>
                <w:b/>
                <w:color w:val="FFFFFF"/>
                <w:sz w:val="19"/>
              </w:rPr>
              <w:t>Category</w:t>
            </w:r>
          </w:p>
        </w:tc>
        <w:tc>
          <w:tcPr>
            <w:tcW w:type="dxa" w:w="3800"/>
            <w:tcMar>
              <w:top w:w="80" w:type="dxa"/>
              <w:start w:w="120" w:type="dxa"/>
              <w:bottom w:w="80" w:type="dxa"/>
              <w:end w:w="120" w:type="dxa"/>
            </w:tcMar>
            <w:vAlign w:val="center"/>
            <w:shd w:fill="1F4D78"/>
          </w:tcPr>
          <w:p>
            <w:pPr>
              <w:spacing w:after="40" w:line="252" w:lineRule="auto"/>
            </w:pPr>
            <w:r>
              <w:rPr>
                <w:b/>
                <w:color w:val="FFFFFF"/>
                <w:sz w:val="19"/>
              </w:rPr>
              <w:t>Indicative Requirement</w:t>
            </w:r>
          </w:p>
        </w:tc>
        <w:tc>
          <w:tcPr>
            <w:tcW w:type="dxa" w:w="3860"/>
            <w:tcMar>
              <w:top w:w="80" w:type="dxa"/>
              <w:start w:w="120" w:type="dxa"/>
              <w:bottom w:w="80" w:type="dxa"/>
              <w:end w:w="120" w:type="dxa"/>
            </w:tcMar>
            <w:vAlign w:val="center"/>
            <w:shd w:fill="1F4D78"/>
          </w:tcPr>
          <w:p>
            <w:pPr>
              <w:spacing w:after="40" w:line="252" w:lineRule="auto"/>
            </w:pPr>
            <w:r>
              <w:rPr>
                <w:b/>
                <w:color w:val="FFFFFF"/>
                <w:sz w:val="19"/>
              </w:rPr>
              <w:t>Notes</w:t>
            </w:r>
          </w:p>
        </w:tc>
      </w:tr>
      <w:tr>
        <w:trPr>
          <w:cantSplit/>
        </w:trPr>
        <w:tc>
          <w:tcPr>
            <w:tcW w:type="dxa" w:w="1700"/>
            <w:tcMar>
              <w:top w:w="80" w:type="dxa"/>
              <w:start w:w="120" w:type="dxa"/>
              <w:bottom w:w="80" w:type="dxa"/>
              <w:end w:w="120" w:type="dxa"/>
            </w:tcMar>
            <w:vAlign w:val="center"/>
          </w:tcPr>
          <w:p>
            <w:pPr>
              <w:spacing w:after="40" w:line="252" w:lineRule="auto"/>
            </w:pPr>
            <w:r>
              <w:rPr>
                <w:sz w:val="19"/>
              </w:rPr>
              <w:t>Safe receiving</w:t>
            </w:r>
          </w:p>
        </w:tc>
        <w:tc>
          <w:tcPr>
            <w:tcW w:type="dxa" w:w="3800"/>
            <w:tcMar>
              <w:top w:w="80" w:type="dxa"/>
              <w:start w:w="120" w:type="dxa"/>
              <w:bottom w:w="80" w:type="dxa"/>
              <w:end w:w="120" w:type="dxa"/>
            </w:tcMar>
            <w:vAlign w:val="center"/>
          </w:tcPr>
          <w:p>
            <w:pPr>
              <w:spacing w:after="40" w:line="252" w:lineRule="auto"/>
            </w:pPr>
            <w:r>
              <w:rPr>
                <w:sz w:val="19"/>
              </w:rPr>
              <w:t>Segregation bins, fire-resistant cabinets/dedicated storage, labeling, scales</w:t>
            </w:r>
          </w:p>
        </w:tc>
        <w:tc>
          <w:tcPr>
            <w:tcW w:type="dxa" w:w="3860"/>
            <w:tcMar>
              <w:top w:w="80" w:type="dxa"/>
              <w:start w:w="120" w:type="dxa"/>
              <w:bottom w:w="80" w:type="dxa"/>
              <w:end w:w="120" w:type="dxa"/>
            </w:tcMar>
            <w:vAlign w:val="center"/>
          </w:tcPr>
          <w:p>
            <w:pPr>
              <w:spacing w:after="40" w:line="252" w:lineRule="auto"/>
            </w:pPr>
            <w:r>
              <w:rPr>
                <w:sz w:val="19"/>
              </w:rPr>
              <w:t>Final selection based on risk assessment</w:t>
            </w:r>
          </w:p>
        </w:tc>
      </w:tr>
      <w:tr>
        <w:trPr>
          <w:cantSplit/>
        </w:trPr>
        <w:tc>
          <w:tcPr>
            <w:tcW w:type="dxa" w:w="1700"/>
            <w:tcMar>
              <w:top w:w="80" w:type="dxa"/>
              <w:start w:w="120" w:type="dxa"/>
              <w:bottom w:w="80" w:type="dxa"/>
              <w:end w:w="120" w:type="dxa"/>
            </w:tcMar>
            <w:vAlign w:val="center"/>
            <w:shd w:fill="F8FAFC"/>
          </w:tcPr>
          <w:p>
            <w:pPr>
              <w:spacing w:after="40" w:line="252" w:lineRule="auto"/>
            </w:pPr>
            <w:r>
              <w:rPr>
                <w:sz w:val="19"/>
              </w:rPr>
              <w:t>Monitoring and detection</w:t>
            </w:r>
          </w:p>
        </w:tc>
        <w:tc>
          <w:tcPr>
            <w:tcW w:type="dxa" w:w="3800"/>
            <w:tcMar>
              <w:top w:w="80" w:type="dxa"/>
              <w:start w:w="120" w:type="dxa"/>
              <w:bottom w:w="80" w:type="dxa"/>
              <w:end w:w="120" w:type="dxa"/>
            </w:tcMar>
            <w:vAlign w:val="center"/>
            <w:shd w:fill="F8FAFC"/>
          </w:tcPr>
          <w:p>
            <w:pPr>
              <w:spacing w:after="40" w:line="252" w:lineRule="auto"/>
            </w:pPr>
            <w:r>
              <w:rPr>
                <w:sz w:val="19"/>
              </w:rPr>
              <w:t>Thermal cameras, temperature sensors, gas/smoke detection, CCTV</w:t>
            </w:r>
          </w:p>
        </w:tc>
        <w:tc>
          <w:tcPr>
            <w:tcW w:type="dxa" w:w="3860"/>
            <w:tcMar>
              <w:top w:w="80" w:type="dxa"/>
              <w:start w:w="120" w:type="dxa"/>
              <w:bottom w:w="80" w:type="dxa"/>
              <w:end w:w="120" w:type="dxa"/>
            </w:tcMar>
            <w:vAlign w:val="center"/>
            <w:shd w:fill="F8FAFC"/>
          </w:tcPr>
          <w:p>
            <w:pPr>
              <w:spacing w:after="40" w:line="252" w:lineRule="auto"/>
            </w:pPr>
            <w:r>
              <w:rPr>
                <w:sz w:val="19"/>
              </w:rPr>
              <w:t>Whether 24/7 alerting is required to be determined by design</w:t>
            </w:r>
          </w:p>
        </w:tc>
      </w:tr>
      <w:tr>
        <w:trPr>
          <w:cantSplit/>
        </w:trPr>
        <w:tc>
          <w:tcPr>
            <w:tcW w:type="dxa" w:w="1700"/>
            <w:tcMar>
              <w:top w:w="80" w:type="dxa"/>
              <w:start w:w="120" w:type="dxa"/>
              <w:bottom w:w="80" w:type="dxa"/>
              <w:end w:w="120" w:type="dxa"/>
            </w:tcMar>
            <w:vAlign w:val="center"/>
          </w:tcPr>
          <w:p>
            <w:pPr>
              <w:spacing w:after="40" w:line="252" w:lineRule="auto"/>
            </w:pPr>
            <w:r>
              <w:rPr>
                <w:sz w:val="19"/>
              </w:rPr>
              <w:t>Electrical diagnostics</w:t>
            </w:r>
          </w:p>
        </w:tc>
        <w:tc>
          <w:tcPr>
            <w:tcW w:type="dxa" w:w="3800"/>
            <w:tcMar>
              <w:top w:w="80" w:type="dxa"/>
              <w:start w:w="120" w:type="dxa"/>
              <w:bottom w:w="80" w:type="dxa"/>
              <w:end w:w="120" w:type="dxa"/>
            </w:tcMar>
            <w:vAlign w:val="center"/>
          </w:tcPr>
          <w:p>
            <w:pPr>
              <w:spacing w:after="40" w:line="252" w:lineRule="auto"/>
            </w:pPr>
            <w:r>
              <w:rPr>
                <w:sz w:val="19"/>
              </w:rPr>
              <w:t>Insulation tester, multimeter, battery analyzer/cycler, CAN/BMS interface</w:t>
            </w:r>
          </w:p>
        </w:tc>
        <w:tc>
          <w:tcPr>
            <w:tcW w:type="dxa" w:w="3860"/>
            <w:tcMar>
              <w:top w:w="80" w:type="dxa"/>
              <w:start w:w="120" w:type="dxa"/>
              <w:bottom w:w="80" w:type="dxa"/>
              <w:end w:w="120" w:type="dxa"/>
            </w:tcMar>
            <w:vAlign w:val="center"/>
          </w:tcPr>
          <w:p>
            <w:pPr>
              <w:spacing w:after="40" w:line="252" w:lineRule="auto"/>
            </w:pPr>
            <w:r>
              <w:rPr>
                <w:sz w:val="19"/>
              </w:rPr>
              <w:t>Protection matched to voltage and chemistry</w:t>
            </w:r>
          </w:p>
        </w:tc>
      </w:tr>
      <w:tr>
        <w:trPr>
          <w:cantSplit/>
        </w:trPr>
        <w:tc>
          <w:tcPr>
            <w:tcW w:type="dxa" w:w="1700"/>
            <w:tcMar>
              <w:top w:w="80" w:type="dxa"/>
              <w:start w:w="120" w:type="dxa"/>
              <w:bottom w:w="80" w:type="dxa"/>
              <w:end w:w="120" w:type="dxa"/>
            </w:tcMar>
            <w:vAlign w:val="center"/>
            <w:shd w:fill="F8FAFC"/>
          </w:tcPr>
          <w:p>
            <w:pPr>
              <w:spacing w:after="40" w:line="252" w:lineRule="auto"/>
            </w:pPr>
            <w:r>
              <w:rPr>
                <w:sz w:val="19"/>
              </w:rPr>
              <w:t>Workstations</w:t>
            </w:r>
          </w:p>
        </w:tc>
        <w:tc>
          <w:tcPr>
            <w:tcW w:type="dxa" w:w="3800"/>
            <w:tcMar>
              <w:top w:w="80" w:type="dxa"/>
              <w:start w:w="120" w:type="dxa"/>
              <w:bottom w:w="80" w:type="dxa"/>
              <w:end w:w="120" w:type="dxa"/>
            </w:tcMar>
            <w:vAlign w:val="center"/>
            <w:shd w:fill="F8FAFC"/>
          </w:tcPr>
          <w:p>
            <w:pPr>
              <w:spacing w:after="40" w:line="252" w:lineRule="auto"/>
            </w:pPr>
            <w:r>
              <w:rPr>
                <w:sz w:val="19"/>
              </w:rPr>
              <w:t>Insulating mats, tools, lifting/handling equipment, barriers</w:t>
            </w:r>
          </w:p>
        </w:tc>
        <w:tc>
          <w:tcPr>
            <w:tcW w:type="dxa" w:w="3860"/>
            <w:tcMar>
              <w:top w:w="80" w:type="dxa"/>
              <w:start w:w="120" w:type="dxa"/>
              <w:bottom w:w="80" w:type="dxa"/>
              <w:end w:w="120" w:type="dxa"/>
            </w:tcMar>
            <w:vAlign w:val="center"/>
            <w:shd w:fill="F8FAFC"/>
          </w:tcPr>
          <w:p>
            <w:pPr>
              <w:spacing w:after="40" w:line="252" w:lineRule="auto"/>
            </w:pPr>
            <w:r>
              <w:rPr>
                <w:sz w:val="19"/>
              </w:rPr>
              <w:t>Ergonomics and high-voltage zoning</w:t>
            </w:r>
          </w:p>
        </w:tc>
      </w:tr>
      <w:tr>
        <w:trPr>
          <w:cantSplit/>
        </w:trPr>
        <w:tc>
          <w:tcPr>
            <w:tcW w:type="dxa" w:w="1700"/>
            <w:tcMar>
              <w:top w:w="80" w:type="dxa"/>
              <w:start w:w="120" w:type="dxa"/>
              <w:bottom w:w="80" w:type="dxa"/>
              <w:end w:w="120" w:type="dxa"/>
            </w:tcMar>
            <w:vAlign w:val="center"/>
          </w:tcPr>
          <w:p>
            <w:pPr>
              <w:spacing w:after="40" w:line="252" w:lineRule="auto"/>
            </w:pPr>
            <w:r>
              <w:rPr>
                <w:sz w:val="19"/>
              </w:rPr>
              <w:t>PPE and emergency equipment</w:t>
            </w:r>
          </w:p>
        </w:tc>
        <w:tc>
          <w:tcPr>
            <w:tcW w:type="dxa" w:w="3800"/>
            <w:tcMar>
              <w:top w:w="80" w:type="dxa"/>
              <w:start w:w="120" w:type="dxa"/>
              <w:bottom w:w="80" w:type="dxa"/>
              <w:end w:w="120" w:type="dxa"/>
            </w:tcMar>
            <w:vAlign w:val="center"/>
          </w:tcPr>
          <w:p>
            <w:pPr>
              <w:spacing w:after="40" w:line="252" w:lineRule="auto"/>
            </w:pPr>
            <w:r>
              <w:rPr>
                <w:sz w:val="19"/>
              </w:rPr>
              <w:t>Eye, face, hand, respiratory, and arc-flash protection; spill kits</w:t>
            </w:r>
          </w:p>
        </w:tc>
        <w:tc>
          <w:tcPr>
            <w:tcW w:type="dxa" w:w="3860"/>
            <w:tcMar>
              <w:top w:w="80" w:type="dxa"/>
              <w:start w:w="120" w:type="dxa"/>
              <w:bottom w:w="80" w:type="dxa"/>
              <w:end w:w="120" w:type="dxa"/>
            </w:tcMar>
            <w:vAlign w:val="center"/>
          </w:tcPr>
          <w:p>
            <w:pPr>
              <w:spacing w:after="40" w:line="252" w:lineRule="auto"/>
            </w:pPr>
            <w:r>
              <w:rPr>
                <w:sz w:val="19"/>
              </w:rPr>
              <w:t>Aligned with SOPs and hazard classification</w:t>
            </w:r>
          </w:p>
        </w:tc>
      </w:tr>
      <w:tr>
        <w:trPr>
          <w:cantSplit/>
        </w:trPr>
        <w:tc>
          <w:tcPr>
            <w:tcW w:type="dxa" w:w="1700"/>
            <w:tcMar>
              <w:top w:w="80" w:type="dxa"/>
              <w:start w:w="120" w:type="dxa"/>
              <w:bottom w:w="80" w:type="dxa"/>
              <w:end w:w="120" w:type="dxa"/>
            </w:tcMar>
            <w:vAlign w:val="center"/>
            <w:shd w:fill="F8FAFC"/>
          </w:tcPr>
          <w:p>
            <w:pPr>
              <w:spacing w:after="40" w:line="252" w:lineRule="auto"/>
            </w:pPr>
            <w:r>
              <w:rPr>
                <w:sz w:val="19"/>
              </w:rPr>
              <w:t>Information system</w:t>
            </w:r>
          </w:p>
        </w:tc>
        <w:tc>
          <w:tcPr>
            <w:tcW w:type="dxa" w:w="3800"/>
            <w:tcMar>
              <w:top w:w="80" w:type="dxa"/>
              <w:start w:w="120" w:type="dxa"/>
              <w:bottom w:w="80" w:type="dxa"/>
              <w:end w:w="120" w:type="dxa"/>
            </w:tcMar>
            <w:vAlign w:val="center"/>
            <w:shd w:fill="F8FAFC"/>
          </w:tcPr>
          <w:p>
            <w:pPr>
              <w:spacing w:after="40" w:line="252" w:lineRule="auto"/>
            </w:pPr>
            <w:r>
              <w:rPr>
                <w:sz w:val="19"/>
              </w:rPr>
              <w:t>ID/QR printer, scanner, database, backups</w:t>
            </w:r>
          </w:p>
        </w:tc>
        <w:tc>
          <w:tcPr>
            <w:tcW w:type="dxa" w:w="3860"/>
            <w:tcMar>
              <w:top w:w="80" w:type="dxa"/>
              <w:start w:w="120" w:type="dxa"/>
              <w:bottom w:w="80" w:type="dxa"/>
              <w:end w:w="120" w:type="dxa"/>
            </w:tcMar>
            <w:vAlign w:val="center"/>
            <w:shd w:fill="F8FAFC"/>
          </w:tcPr>
          <w:p>
            <w:pPr>
              <w:spacing w:after="40" w:line="252" w:lineRule="auto"/>
            </w:pPr>
            <w:r>
              <w:rPr>
                <w:sz w:val="19"/>
              </w:rPr>
              <w:t>With access levels and an audit trail</w:t>
            </w:r>
          </w:p>
        </w:tc>
      </w:tr>
      <w:tr>
        <w:trPr>
          <w:cantSplit/>
        </w:trPr>
        <w:tc>
          <w:tcPr>
            <w:tcW w:type="dxa" w:w="1700"/>
            <w:tcMar>
              <w:top w:w="80" w:type="dxa"/>
              <w:start w:w="120" w:type="dxa"/>
              <w:bottom w:w="80" w:type="dxa"/>
              <w:end w:w="120" w:type="dxa"/>
            </w:tcMar>
            <w:vAlign w:val="center"/>
          </w:tcPr>
          <w:p>
            <w:pPr>
              <w:spacing w:after="40" w:line="252" w:lineRule="auto"/>
            </w:pPr>
            <w:r>
              <w:rPr>
                <w:sz w:val="19"/>
              </w:rPr>
              <w:t>Infrastructure</w:t>
            </w:r>
          </w:p>
        </w:tc>
        <w:tc>
          <w:tcPr>
            <w:tcW w:type="dxa" w:w="3800"/>
            <w:tcMar>
              <w:top w:w="80" w:type="dxa"/>
              <w:start w:w="120" w:type="dxa"/>
              <w:bottom w:w="80" w:type="dxa"/>
              <w:end w:w="120" w:type="dxa"/>
            </w:tcMar>
            <w:vAlign w:val="center"/>
          </w:tcPr>
          <w:p>
            <w:pPr>
              <w:spacing w:after="40" w:line="252" w:lineRule="auto"/>
            </w:pPr>
            <w:r>
              <w:rPr>
                <w:sz w:val="19"/>
              </w:rPr>
              <w:t>Ventilation, electrical protection, grounding, emergency exits</w:t>
            </w:r>
          </w:p>
        </w:tc>
        <w:tc>
          <w:tcPr>
            <w:tcW w:type="dxa" w:w="3860"/>
            <w:tcMar>
              <w:top w:w="80" w:type="dxa"/>
              <w:start w:w="120" w:type="dxa"/>
              <w:bottom w:w="80" w:type="dxa"/>
              <w:end w:w="120" w:type="dxa"/>
            </w:tcMar>
            <w:vAlign w:val="center"/>
          </w:tcPr>
          <w:p>
            <w:pPr>
              <w:spacing w:after="40" w:line="252" w:lineRule="auto"/>
            </w:pPr>
            <w:r>
              <w:rPr>
                <w:sz w:val="19"/>
              </w:rPr>
              <w:t>Subject to authorized design and inspection</w:t>
            </w:r>
          </w:p>
        </w:tc>
      </w:tr>
    </w:tbl>
    <w:p>
      <w:pPr>
        <w:spacing w:after="20"/>
      </w:pPr>
    </w:p>
    <w:tbl>
      <w:tblPr>
        <w:tblW w:type="auto" w:w="0"/>
        <w:jc w:val="center"/>
        <w:tblLayout w:type="fixed"/>
        <w:tblLook w:firstColumn="1" w:firstRow="1" w:lastColumn="0" w:lastRow="0" w:noHBand="0" w:noVBand="1" w:val="04A0"/>
      </w:tblPr>
      <w:tblGrid>
        <w:gridCol w:w="9360"/>
      </w:tblGrid>
      <w:tr>
        <w:trPr>
          <w:tblHeader w:val="true"/>
          <w:cantSplit/>
        </w:trPr>
        <w:tc>
          <w:tcPr>
            <w:tcW w:type="dxa" w:w="9360"/>
            <w:tcMar>
              <w:top w:w="160" w:type="dxa"/>
              <w:start w:w="180" w:type="dxa"/>
              <w:bottom w:w="160" w:type="dxa"/>
              <w:end w:w="180" w:type="dxa"/>
            </w:tcMar>
            <w:shd w:fill="EAF2F8"/>
          </w:tcPr>
          <w:p>
            <w:pPr>
              <w:spacing w:after="0"/>
            </w:pPr>
            <w:r>
              <w:rPr>
                <w:b/>
                <w:color w:val="1F4D78"/>
              </w:rPr>
              <w:t xml:space="preserve">Procurement condition: </w:t>
            </w:r>
            <w:r>
              <w:t>The exact equipment model, capacity, and cost will be confirmed based on the scope of battery types covered, facility design, supplier proposals, and an authorized safety assessment.</w:t>
            </w:r>
          </w:p>
        </w:tc>
      </w:tr>
    </w:tbl>
    <w:p>
      <w:pPr>
        <w:spacing w:after="20"/>
      </w:pPr>
    </w:p>
    <w:p>
      <w:pPr>
        <w:pStyle w:val="Heading1"/>
      </w:pPr>
      <w:r>
        <w:t>9. Implementation Structure and Governance</w:t>
      </w:r>
    </w:p>
    <w:tbl>
      <w:tblPr>
        <w:tblStyle w:val="TableGrid"/>
        <w:tblW w:type="dxa" w:w="9360"/>
        <w:jc w:val="center"/>
        <w:tblLayout w:type="fixed"/>
        <w:tblLook w:firstColumn="1" w:firstRow="1" w:lastColumn="0" w:lastRow="0" w:noHBand="0" w:noVBand="1" w:val="04A0"/>
        <w:tblInd w:w="120" w:type="dxa"/>
      </w:tblPr>
      <w:tblGrid>
        <w:gridCol w:w="2700"/>
        <w:gridCol w:w="6660"/>
      </w:tblGrid>
      <w:tr>
        <w:trPr>
          <w:tblHeader w:val="true"/>
          <w:cantSplit/>
        </w:trPr>
        <w:tc>
          <w:tcPr>
            <w:tcW w:type="dxa" w:w="2700"/>
            <w:tcMar>
              <w:top w:w="80" w:type="dxa"/>
              <w:start w:w="120" w:type="dxa"/>
              <w:bottom w:w="80" w:type="dxa"/>
              <w:end w:w="120" w:type="dxa"/>
            </w:tcMar>
            <w:vAlign w:val="center"/>
            <w:shd w:fill="1F4D78"/>
          </w:tcPr>
          <w:p>
            <w:pPr>
              <w:spacing w:after="40" w:line="252" w:lineRule="auto"/>
            </w:pPr>
            <w:r>
              <w:rPr>
                <w:b/>
                <w:color w:val="FFFFFF"/>
                <w:sz w:val="19"/>
              </w:rPr>
              <w:t>Level/Role</w:t>
            </w:r>
          </w:p>
        </w:tc>
        <w:tc>
          <w:tcPr>
            <w:tcW w:type="dxa" w:w="6660"/>
            <w:tcMar>
              <w:top w:w="80" w:type="dxa"/>
              <w:start w:w="120" w:type="dxa"/>
              <w:bottom w:w="80" w:type="dxa"/>
              <w:end w:w="120" w:type="dxa"/>
            </w:tcMar>
            <w:vAlign w:val="center"/>
            <w:shd w:fill="1F4D78"/>
          </w:tcPr>
          <w:p>
            <w:pPr>
              <w:spacing w:after="40" w:line="252" w:lineRule="auto"/>
            </w:pPr>
            <w:r>
              <w:rPr>
                <w:b/>
                <w:color w:val="FFFFFF"/>
                <w:sz w:val="19"/>
              </w:rPr>
              <w:t>Key Responsibility</w:t>
            </w:r>
          </w:p>
        </w:tc>
      </w:tr>
      <w:tr>
        <w:trPr>
          <w:cantSplit/>
        </w:trPr>
        <w:tc>
          <w:tcPr>
            <w:tcW w:type="dxa" w:w="2700"/>
            <w:tcMar>
              <w:top w:w="80" w:type="dxa"/>
              <w:start w:w="120" w:type="dxa"/>
              <w:bottom w:w="80" w:type="dxa"/>
              <w:end w:w="120" w:type="dxa"/>
            </w:tcMar>
            <w:vAlign w:val="center"/>
          </w:tcPr>
          <w:p>
            <w:pPr>
              <w:spacing w:after="40" w:line="252" w:lineRule="auto"/>
            </w:pPr>
            <w:r>
              <w:rPr>
                <w:sz w:val="19"/>
              </w:rPr>
              <w:t>Steering Committee</w:t>
            </w:r>
          </w:p>
        </w:tc>
        <w:tc>
          <w:tcPr>
            <w:tcW w:type="dxa" w:w="6660"/>
            <w:tcMar>
              <w:top w:w="80" w:type="dxa"/>
              <w:start w:w="120" w:type="dxa"/>
              <w:bottom w:w="80" w:type="dxa"/>
              <w:end w:w="120" w:type="dxa"/>
            </w:tcMar>
            <w:vAlign w:val="center"/>
          </w:tcPr>
          <w:p>
            <w:pPr>
              <w:spacing w:after="40" w:line="252" w:lineRule="auto"/>
            </w:pPr>
            <w:r>
              <w:rPr>
                <w:sz w:val="19"/>
              </w:rPr>
              <w:t>Strategy, partnerships, budget, major risks, stage-gate decisions</w:t>
            </w:r>
          </w:p>
        </w:tc>
      </w:tr>
      <w:tr>
        <w:trPr>
          <w:cantSplit/>
        </w:trPr>
        <w:tc>
          <w:tcPr>
            <w:tcW w:type="dxa" w:w="2700"/>
            <w:tcMar>
              <w:top w:w="80" w:type="dxa"/>
              <w:start w:w="120" w:type="dxa"/>
              <w:bottom w:w="80" w:type="dxa"/>
              <w:end w:w="120" w:type="dxa"/>
            </w:tcMar>
            <w:vAlign w:val="center"/>
            <w:shd w:fill="F8FAFC"/>
          </w:tcPr>
          <w:p>
            <w:pPr>
              <w:spacing w:after="40" w:line="252" w:lineRule="auto"/>
            </w:pPr>
            <w:r>
              <w:rPr>
                <w:sz w:val="19"/>
              </w:rPr>
              <w:t>Project Director</w:t>
            </w:r>
          </w:p>
        </w:tc>
        <w:tc>
          <w:tcPr>
            <w:tcW w:type="dxa" w:w="6660"/>
            <w:tcMar>
              <w:top w:w="80" w:type="dxa"/>
              <w:start w:w="120" w:type="dxa"/>
              <w:bottom w:w="80" w:type="dxa"/>
              <w:end w:w="120" w:type="dxa"/>
            </w:tcMar>
            <w:vAlign w:val="center"/>
            <w:shd w:fill="F8FAFC"/>
          </w:tcPr>
          <w:p>
            <w:pPr>
              <w:spacing w:after="40" w:line="252" w:lineRule="auto"/>
            </w:pPr>
            <w:r>
              <w:rPr>
                <w:sz w:val="19"/>
              </w:rPr>
              <w:t>Overall leadership, partnerships, reporting, funder relations</w:t>
            </w:r>
          </w:p>
        </w:tc>
      </w:tr>
      <w:tr>
        <w:trPr>
          <w:cantSplit/>
        </w:trPr>
        <w:tc>
          <w:tcPr>
            <w:tcW w:type="dxa" w:w="2700"/>
            <w:tcMar>
              <w:top w:w="80" w:type="dxa"/>
              <w:start w:w="120" w:type="dxa"/>
              <w:bottom w:w="80" w:type="dxa"/>
              <w:end w:w="120" w:type="dxa"/>
            </w:tcMar>
            <w:vAlign w:val="center"/>
          </w:tcPr>
          <w:p>
            <w:pPr>
              <w:spacing w:after="40" w:line="252" w:lineRule="auto"/>
            </w:pPr>
            <w:r>
              <w:rPr>
                <w:sz w:val="19"/>
              </w:rPr>
              <w:t>Project Manager</w:t>
            </w:r>
          </w:p>
        </w:tc>
        <w:tc>
          <w:tcPr>
            <w:tcW w:type="dxa" w:w="6660"/>
            <w:tcMar>
              <w:top w:w="80" w:type="dxa"/>
              <w:start w:w="120" w:type="dxa"/>
              <w:bottom w:w="80" w:type="dxa"/>
              <w:end w:w="120" w:type="dxa"/>
            </w:tcMar>
            <w:vAlign w:val="center"/>
          </w:tcPr>
          <w:p>
            <w:pPr>
              <w:spacing w:after="40" w:line="252" w:lineRule="auto"/>
            </w:pPr>
            <w:r>
              <w:rPr>
                <w:sz w:val="19"/>
              </w:rPr>
              <w:t>Day-to-day planning, procurement, scheduling, contracts, reporting</w:t>
            </w:r>
          </w:p>
        </w:tc>
      </w:tr>
      <w:tr>
        <w:trPr>
          <w:cantSplit/>
        </w:trPr>
        <w:tc>
          <w:tcPr>
            <w:tcW w:type="dxa" w:w="2700"/>
            <w:tcMar>
              <w:top w:w="80" w:type="dxa"/>
              <w:start w:w="120" w:type="dxa"/>
              <w:bottom w:w="80" w:type="dxa"/>
              <w:end w:w="120" w:type="dxa"/>
            </w:tcMar>
            <w:vAlign w:val="center"/>
            <w:shd w:fill="F8FAFC"/>
          </w:tcPr>
          <w:p>
            <w:pPr>
              <w:spacing w:after="40" w:line="252" w:lineRule="auto"/>
            </w:pPr>
            <w:r>
              <w:rPr>
                <w:sz w:val="19"/>
              </w:rPr>
              <w:t>Technical Lead</w:t>
            </w:r>
          </w:p>
        </w:tc>
        <w:tc>
          <w:tcPr>
            <w:tcW w:type="dxa" w:w="6660"/>
            <w:tcMar>
              <w:top w:w="80" w:type="dxa"/>
              <w:start w:w="120" w:type="dxa"/>
              <w:bottom w:w="80" w:type="dxa"/>
              <w:end w:w="120" w:type="dxa"/>
            </w:tcMar>
            <w:vAlign w:val="center"/>
            <w:shd w:fill="F8FAFC"/>
          </w:tcPr>
          <w:p>
            <w:pPr>
              <w:spacing w:after="40" w:line="252" w:lineRule="auto"/>
            </w:pPr>
            <w:r>
              <w:rPr>
                <w:sz w:val="19"/>
              </w:rPr>
              <w:t>Design, equipment, test methodology, classification criteria</w:t>
            </w:r>
          </w:p>
        </w:tc>
      </w:tr>
      <w:tr>
        <w:trPr>
          <w:cantSplit/>
        </w:trPr>
        <w:tc>
          <w:tcPr>
            <w:tcW w:type="dxa" w:w="2700"/>
            <w:tcMar>
              <w:top w:w="80" w:type="dxa"/>
              <w:start w:w="120" w:type="dxa"/>
              <w:bottom w:w="80" w:type="dxa"/>
              <w:end w:w="120" w:type="dxa"/>
            </w:tcMar>
            <w:vAlign w:val="center"/>
          </w:tcPr>
          <w:p>
            <w:pPr>
              <w:spacing w:after="40" w:line="252" w:lineRule="auto"/>
            </w:pPr>
            <w:r>
              <w:rPr>
                <w:sz w:val="19"/>
              </w:rPr>
              <w:t>EHS/Environmental Officer</w:t>
            </w:r>
          </w:p>
        </w:tc>
        <w:tc>
          <w:tcPr>
            <w:tcW w:type="dxa" w:w="6660"/>
            <w:tcMar>
              <w:top w:w="80" w:type="dxa"/>
              <w:start w:w="120" w:type="dxa"/>
              <w:bottom w:w="80" w:type="dxa"/>
              <w:end w:w="120" w:type="dxa"/>
            </w:tcMar>
            <w:vAlign w:val="center"/>
          </w:tcPr>
          <w:p>
            <w:pPr>
              <w:spacing w:after="40" w:line="252" w:lineRule="auto"/>
            </w:pPr>
            <w:r>
              <w:rPr>
                <w:sz w:val="19"/>
              </w:rPr>
              <w:t>Risk assessment, SOPs, training, incidents, compliance</w:t>
            </w:r>
          </w:p>
        </w:tc>
      </w:tr>
      <w:tr>
        <w:trPr>
          <w:cantSplit/>
        </w:trPr>
        <w:tc>
          <w:tcPr>
            <w:tcW w:type="dxa" w:w="2700"/>
            <w:tcMar>
              <w:top w:w="80" w:type="dxa"/>
              <w:start w:w="120" w:type="dxa"/>
              <w:bottom w:w="80" w:type="dxa"/>
              <w:end w:w="120" w:type="dxa"/>
            </w:tcMar>
            <w:vAlign w:val="center"/>
            <w:shd w:fill="F8FAFC"/>
          </w:tcPr>
          <w:p>
            <w:pPr>
              <w:spacing w:after="40" w:line="252" w:lineRule="auto"/>
            </w:pPr>
            <w:r>
              <w:rPr>
                <w:sz w:val="19"/>
              </w:rPr>
              <w:t>Data and Traceability Officer</w:t>
            </w:r>
          </w:p>
        </w:tc>
        <w:tc>
          <w:tcPr>
            <w:tcW w:type="dxa" w:w="6660"/>
            <w:tcMar>
              <w:top w:w="80" w:type="dxa"/>
              <w:start w:w="120" w:type="dxa"/>
              <w:bottom w:w="80" w:type="dxa"/>
              <w:end w:w="120" w:type="dxa"/>
            </w:tcMar>
            <w:vAlign w:val="center"/>
            <w:shd w:fill="F8FAFC"/>
          </w:tcPr>
          <w:p>
            <w:pPr>
              <w:spacing w:after="40" w:line="252" w:lineRule="auto"/>
            </w:pPr>
            <w:r>
              <w:rPr>
                <w:sz w:val="19"/>
              </w:rPr>
              <w:t>ID/QR, data quality, privacy, reporting dashboard</w:t>
            </w:r>
          </w:p>
        </w:tc>
      </w:tr>
      <w:tr>
        <w:trPr>
          <w:cantSplit/>
        </w:trPr>
        <w:tc>
          <w:tcPr>
            <w:tcW w:type="dxa" w:w="2700"/>
            <w:tcMar>
              <w:top w:w="80" w:type="dxa"/>
              <w:start w:w="120" w:type="dxa"/>
              <w:bottom w:w="80" w:type="dxa"/>
              <w:end w:w="120" w:type="dxa"/>
            </w:tcMar>
            <w:vAlign w:val="center"/>
          </w:tcPr>
          <w:p>
            <w:pPr>
              <w:spacing w:after="40" w:line="252" w:lineRule="auto"/>
            </w:pPr>
            <w:r>
              <w:rPr>
                <w:sz w:val="19"/>
              </w:rPr>
              <w:t>Finance/Procurement</w:t>
            </w:r>
          </w:p>
        </w:tc>
        <w:tc>
          <w:tcPr>
            <w:tcW w:type="dxa" w:w="6660"/>
            <w:tcMar>
              <w:top w:w="80" w:type="dxa"/>
              <w:start w:w="120" w:type="dxa"/>
              <w:bottom w:w="80" w:type="dxa"/>
              <w:end w:w="120" w:type="dxa"/>
            </w:tcMar>
            <w:vAlign w:val="center"/>
          </w:tcPr>
          <w:p>
            <w:pPr>
              <w:spacing w:after="40" w:line="252" w:lineRule="auto"/>
            </w:pPr>
            <w:r>
              <w:rPr>
                <w:sz w:val="19"/>
              </w:rPr>
              <w:t>Budget, documentation, tendering/selection, audit</w:t>
            </w:r>
          </w:p>
        </w:tc>
      </w:tr>
      <w:tr>
        <w:trPr>
          <w:cantSplit/>
        </w:trPr>
        <w:tc>
          <w:tcPr>
            <w:tcW w:type="dxa" w:w="2700"/>
            <w:tcMar>
              <w:top w:w="80" w:type="dxa"/>
              <w:start w:w="120" w:type="dxa"/>
              <w:bottom w:w="80" w:type="dxa"/>
              <w:end w:w="120" w:type="dxa"/>
            </w:tcMar>
            <w:vAlign w:val="center"/>
            <w:shd w:fill="F8FAFC"/>
          </w:tcPr>
          <w:p>
            <w:pPr>
              <w:spacing w:after="40" w:line="252" w:lineRule="auto"/>
            </w:pPr>
            <w:r>
              <w:rPr>
                <w:sz w:val="19"/>
              </w:rPr>
              <w:t>External Advisor/Evaluator</w:t>
            </w:r>
          </w:p>
        </w:tc>
        <w:tc>
          <w:tcPr>
            <w:tcW w:type="dxa" w:w="6660"/>
            <w:tcMar>
              <w:top w:w="80" w:type="dxa"/>
              <w:start w:w="120" w:type="dxa"/>
              <w:bottom w:w="80" w:type="dxa"/>
              <w:end w:w="120" w:type="dxa"/>
            </w:tcMar>
            <w:vAlign w:val="center"/>
            <w:shd w:fill="F8FAFC"/>
          </w:tcPr>
          <w:p>
            <w:pPr>
              <w:spacing w:after="40" w:line="252" w:lineRule="auto"/>
            </w:pPr>
            <w:r>
              <w:rPr>
                <w:sz w:val="19"/>
              </w:rPr>
              <w:t>Legal, fire, construction, laboratory methodology, final evaluation</w:t>
            </w:r>
          </w:p>
        </w:tc>
      </w:tr>
    </w:tbl>
    <w:p>
      <w:pPr>
        <w:spacing w:after="20"/>
      </w:pPr>
    </w:p>
    <w:p>
      <w:pPr>
        <w:pStyle w:val="Heading2"/>
      </w:pPr>
      <w:r>
        <w:t>9.1 Decision-Making</w:t>
      </w:r>
    </w:p>
    <w:p>
      <w:pPr>
        <w:pStyle w:val="ListBullet"/>
        <w:spacing w:after="80" w:line="290" w:lineRule="auto"/>
      </w:pPr>
      <w:r>
        <w:t>Monthly implementation meetings and quarterly Steering Committee oversight will be held.</w:t>
      </w:r>
    </w:p>
    <w:p>
      <w:pPr>
        <w:pStyle w:val="ListBullet"/>
        <w:spacing w:after="80" w:line="290" w:lineRule="auto"/>
      </w:pPr>
      <w:r>
        <w:t>Any operator has the authority to stop work in the event of a serious safety violation.</w:t>
      </w:r>
    </w:p>
    <w:p>
      <w:pPr>
        <w:pStyle w:val="ListBullet"/>
        <w:spacing w:after="80" w:line="290" w:lineRule="auto"/>
      </w:pPr>
      <w:r>
        <w:t>Major budget changes, scope expansions, and the addition of new battery chemistries will be approved through a change-control procedure.</w:t>
      </w:r>
    </w:p>
    <w:p>
      <w:pPr>
        <w:pStyle w:val="ListBullet"/>
        <w:spacing w:after="80" w:line="290" w:lineRule="auto"/>
      </w:pPr>
      <w:r>
        <w:t>Every incident, violation, and near-miss will be logged, with root cause and corrective action tracked to closure.</w:t>
      </w:r>
    </w:p>
    <w:p>
      <w:pPr>
        <w:pStyle w:val="Heading1"/>
      </w:pPr>
      <w:r>
        <w:t>10. Timeline</w:t>
      </w:r>
    </w:p>
    <w:tbl>
      <w:tblPr>
        <w:tblStyle w:val="TableGrid"/>
        <w:tblW w:type="dxa" w:w="9360"/>
        <w:jc w:val="center"/>
        <w:tblLayout w:type="fixed"/>
        <w:tblLook w:firstColumn="1" w:firstRow="1" w:lastColumn="0" w:lastRow="0" w:noHBand="0" w:noVBand="1" w:val="04A0"/>
        <w:tblInd w:w="120" w:type="dxa"/>
      </w:tblPr>
      <w:tblGrid>
        <w:gridCol w:w="2560"/>
        <w:gridCol w:w="1133"/>
        <w:gridCol w:w="1133"/>
        <w:gridCol w:w="1133"/>
        <w:gridCol w:w="1133"/>
        <w:gridCol w:w="1133"/>
        <w:gridCol w:w="1135"/>
      </w:tblGrid>
      <w:tr>
        <w:trPr>
          <w:tblHeader w:val="true"/>
          <w:cantSplit/>
        </w:trPr>
        <w:tc>
          <w:tcPr>
            <w:tcW w:type="dxa" w:w="2560"/>
            <w:tcMar>
              <w:top w:w="80" w:type="dxa"/>
              <w:start w:w="120" w:type="dxa"/>
              <w:bottom w:w="80" w:type="dxa"/>
              <w:end w:w="120" w:type="dxa"/>
            </w:tcMar>
            <w:vAlign w:val="center"/>
            <w:shd w:fill="1F4D78"/>
          </w:tcPr>
          <w:p>
            <w:pPr>
              <w:spacing w:after="40" w:line="252" w:lineRule="auto"/>
            </w:pPr>
            <w:r>
              <w:rPr>
                <w:b/>
                <w:color w:val="FFFFFF"/>
                <w:sz w:val="19"/>
              </w:rPr>
              <w:t>Activity</w:t>
            </w:r>
          </w:p>
        </w:tc>
        <w:tc>
          <w:tcPr>
            <w:tcW w:type="dxa" w:w="1133"/>
            <w:tcMar>
              <w:top w:w="80" w:type="dxa"/>
              <w:start w:w="120" w:type="dxa"/>
              <w:bottom w:w="80" w:type="dxa"/>
              <w:end w:w="120" w:type="dxa"/>
            </w:tcMar>
            <w:vAlign w:val="center"/>
            <w:shd w:fill="1F4D78"/>
          </w:tcPr>
          <w:p>
            <w:pPr>
              <w:spacing w:after="40" w:line="252" w:lineRule="auto"/>
            </w:pPr>
            <w:r>
              <w:rPr>
                <w:b/>
                <w:color w:val="FFFFFF"/>
                <w:sz w:val="19"/>
              </w:rPr>
              <w:t>Months 1–3</w:t>
            </w:r>
          </w:p>
        </w:tc>
        <w:tc>
          <w:tcPr>
            <w:tcW w:type="dxa" w:w="1133"/>
            <w:tcMar>
              <w:top w:w="80" w:type="dxa"/>
              <w:start w:w="120" w:type="dxa"/>
              <w:bottom w:w="80" w:type="dxa"/>
              <w:end w:w="120" w:type="dxa"/>
            </w:tcMar>
            <w:vAlign w:val="center"/>
            <w:shd w:fill="1F4D78"/>
          </w:tcPr>
          <w:p>
            <w:pPr>
              <w:spacing w:after="40" w:line="252" w:lineRule="auto"/>
            </w:pPr>
            <w:r>
              <w:rPr>
                <w:b/>
                <w:color w:val="FFFFFF"/>
                <w:sz w:val="19"/>
              </w:rPr>
              <w:t>Months 4–6</w:t>
            </w:r>
          </w:p>
        </w:tc>
        <w:tc>
          <w:tcPr>
            <w:tcW w:type="dxa" w:w="1133"/>
            <w:tcMar>
              <w:top w:w="80" w:type="dxa"/>
              <w:start w:w="120" w:type="dxa"/>
              <w:bottom w:w="80" w:type="dxa"/>
              <w:end w:w="120" w:type="dxa"/>
            </w:tcMar>
            <w:vAlign w:val="center"/>
            <w:shd w:fill="1F4D78"/>
          </w:tcPr>
          <w:p>
            <w:pPr>
              <w:spacing w:after="40" w:line="252" w:lineRule="auto"/>
            </w:pPr>
            <w:r>
              <w:rPr>
                <w:b/>
                <w:color w:val="FFFFFF"/>
                <w:sz w:val="19"/>
              </w:rPr>
              <w:t>Months 7–9</w:t>
            </w:r>
          </w:p>
        </w:tc>
        <w:tc>
          <w:tcPr>
            <w:tcW w:type="dxa" w:w="1133"/>
            <w:tcMar>
              <w:top w:w="80" w:type="dxa"/>
              <w:start w:w="120" w:type="dxa"/>
              <w:bottom w:w="80" w:type="dxa"/>
              <w:end w:w="120" w:type="dxa"/>
            </w:tcMar>
            <w:vAlign w:val="center"/>
            <w:shd w:fill="1F4D78"/>
          </w:tcPr>
          <w:p>
            <w:pPr>
              <w:spacing w:after="40" w:line="252" w:lineRule="auto"/>
            </w:pPr>
            <w:r>
              <w:rPr>
                <w:b/>
                <w:color w:val="FFFFFF"/>
                <w:sz w:val="19"/>
              </w:rPr>
              <w:t>Months 10–12</w:t>
            </w:r>
          </w:p>
        </w:tc>
        <w:tc>
          <w:tcPr>
            <w:tcW w:type="dxa" w:w="1133"/>
            <w:tcMar>
              <w:top w:w="80" w:type="dxa"/>
              <w:start w:w="120" w:type="dxa"/>
              <w:bottom w:w="80" w:type="dxa"/>
              <w:end w:w="120" w:type="dxa"/>
            </w:tcMar>
            <w:vAlign w:val="center"/>
            <w:shd w:fill="1F4D78"/>
          </w:tcPr>
          <w:p>
            <w:pPr>
              <w:spacing w:after="40" w:line="252" w:lineRule="auto"/>
            </w:pPr>
            <w:r>
              <w:rPr>
                <w:b/>
                <w:color w:val="FFFFFF"/>
                <w:sz w:val="19"/>
              </w:rPr>
              <w:t>Months 13–15</w:t>
            </w:r>
          </w:p>
        </w:tc>
        <w:tc>
          <w:tcPr>
            <w:tcW w:type="dxa" w:w="1135"/>
            <w:tcMar>
              <w:top w:w="80" w:type="dxa"/>
              <w:start w:w="120" w:type="dxa"/>
              <w:bottom w:w="80" w:type="dxa"/>
              <w:end w:w="120" w:type="dxa"/>
            </w:tcMar>
            <w:vAlign w:val="center"/>
            <w:shd w:fill="1F4D78"/>
          </w:tcPr>
          <w:p>
            <w:pPr>
              <w:spacing w:after="40" w:line="252" w:lineRule="auto"/>
            </w:pPr>
            <w:r>
              <w:rPr>
                <w:b/>
                <w:color w:val="FFFFFF"/>
                <w:sz w:val="19"/>
              </w:rPr>
              <w:t>Months 16–18</w:t>
            </w:r>
          </w:p>
        </w:tc>
      </w:tr>
      <w:tr>
        <w:trPr>
          <w:cantSplit/>
        </w:trPr>
        <w:tc>
          <w:tcPr>
            <w:tcW w:type="dxa" w:w="2560"/>
            <w:tcMar>
              <w:top w:w="80" w:type="dxa"/>
              <w:start w:w="120" w:type="dxa"/>
              <w:bottom w:w="80" w:type="dxa"/>
              <w:end w:w="120" w:type="dxa"/>
            </w:tcMar>
            <w:vAlign w:val="center"/>
          </w:tcPr>
          <w:p>
            <w:pPr>
              <w:spacing w:after="40" w:line="252" w:lineRule="auto"/>
            </w:pPr>
            <w:r>
              <w:rPr>
                <w:sz w:val="19"/>
              </w:rPr>
              <w:t>Baseline research and mapping</w:t>
            </w:r>
          </w:p>
        </w:tc>
        <w:tc>
          <w:tcPr>
            <w:tcW w:type="dxa" w:w="1133"/>
            <w:tcMar>
              <w:top w:w="80" w:type="dxa"/>
              <w:start w:w="120" w:type="dxa"/>
              <w:bottom w:w="80" w:type="dxa"/>
              <w:end w:w="120" w:type="dxa"/>
            </w:tcMar>
            <w:vAlign w:val="center"/>
          </w:tcPr>
          <w:p>
            <w:pPr>
              <w:spacing w:after="40" w:line="252" w:lineRule="auto"/>
            </w:pPr>
            <w:r>
              <w:rPr>
                <w:sz w:val="19"/>
              </w:rPr>
              <w:t>●</w:t>
            </w:r>
          </w:p>
        </w:tc>
        <w:tc>
          <w:tcPr>
            <w:tcW w:type="dxa" w:w="1133"/>
            <w:tcMar>
              <w:top w:w="80" w:type="dxa"/>
              <w:start w:w="120" w:type="dxa"/>
              <w:bottom w:w="80" w:type="dxa"/>
              <w:end w:w="120" w:type="dxa"/>
            </w:tcMar>
            <w:vAlign w:val="center"/>
          </w:tcPr>
          <w:p>
            <w:pPr>
              <w:spacing w:after="40" w:line="252" w:lineRule="auto"/>
            </w:pPr>
            <w:r>
              <w:rPr>
                <w:sz w:val="19"/>
              </w:rPr>
            </w:r>
          </w:p>
        </w:tc>
        <w:tc>
          <w:tcPr>
            <w:tcW w:type="dxa" w:w="1133"/>
            <w:tcMar>
              <w:top w:w="80" w:type="dxa"/>
              <w:start w:w="120" w:type="dxa"/>
              <w:bottom w:w="80" w:type="dxa"/>
              <w:end w:w="120" w:type="dxa"/>
            </w:tcMar>
            <w:vAlign w:val="center"/>
          </w:tcPr>
          <w:p>
            <w:pPr>
              <w:spacing w:after="40" w:line="252" w:lineRule="auto"/>
            </w:pPr>
            <w:r>
              <w:rPr>
                <w:sz w:val="19"/>
              </w:rPr>
            </w:r>
          </w:p>
        </w:tc>
        <w:tc>
          <w:tcPr>
            <w:tcW w:type="dxa" w:w="1133"/>
            <w:tcMar>
              <w:top w:w="80" w:type="dxa"/>
              <w:start w:w="120" w:type="dxa"/>
              <w:bottom w:w="80" w:type="dxa"/>
              <w:end w:w="120" w:type="dxa"/>
            </w:tcMar>
            <w:vAlign w:val="center"/>
          </w:tcPr>
          <w:p>
            <w:pPr>
              <w:spacing w:after="40" w:line="252" w:lineRule="auto"/>
            </w:pPr>
            <w:r>
              <w:rPr>
                <w:sz w:val="19"/>
              </w:rPr>
            </w:r>
          </w:p>
        </w:tc>
        <w:tc>
          <w:tcPr>
            <w:tcW w:type="dxa" w:w="1133"/>
            <w:tcMar>
              <w:top w:w="80" w:type="dxa"/>
              <w:start w:w="120" w:type="dxa"/>
              <w:bottom w:w="80" w:type="dxa"/>
              <w:end w:w="120" w:type="dxa"/>
            </w:tcMar>
            <w:vAlign w:val="center"/>
          </w:tcPr>
          <w:p>
            <w:pPr>
              <w:spacing w:after="40" w:line="252" w:lineRule="auto"/>
            </w:pPr>
            <w:r>
              <w:rPr>
                <w:sz w:val="19"/>
              </w:rPr>
            </w:r>
          </w:p>
        </w:tc>
        <w:tc>
          <w:tcPr>
            <w:tcW w:type="dxa" w:w="1135"/>
            <w:tcMar>
              <w:top w:w="80" w:type="dxa"/>
              <w:start w:w="120" w:type="dxa"/>
              <w:bottom w:w="80" w:type="dxa"/>
              <w:end w:w="120" w:type="dxa"/>
            </w:tcMar>
            <w:vAlign w:val="center"/>
          </w:tcPr>
          <w:p>
            <w:pPr>
              <w:spacing w:after="40" w:line="252" w:lineRule="auto"/>
            </w:pPr>
            <w:r>
              <w:rPr>
                <w:sz w:val="19"/>
              </w:rPr>
            </w:r>
          </w:p>
        </w:tc>
      </w:tr>
      <w:tr>
        <w:trPr>
          <w:cantSplit/>
        </w:trPr>
        <w:tc>
          <w:tcPr>
            <w:tcW w:type="dxa" w:w="2560"/>
            <w:tcMar>
              <w:top w:w="80" w:type="dxa"/>
              <w:start w:w="120" w:type="dxa"/>
              <w:bottom w:w="80" w:type="dxa"/>
              <w:end w:w="120" w:type="dxa"/>
            </w:tcMar>
            <w:vAlign w:val="center"/>
            <w:shd w:fill="F8FAFC"/>
          </w:tcPr>
          <w:p>
            <w:pPr>
              <w:spacing w:after="40" w:line="252" w:lineRule="auto"/>
            </w:pPr>
            <w:r>
              <w:rPr>
                <w:sz w:val="19"/>
              </w:rPr>
              <w:t>Design and permitting</w:t>
            </w:r>
          </w:p>
        </w:tc>
        <w:tc>
          <w:tcPr>
            <w:tcW w:type="dxa" w:w="1133"/>
            <w:tcMar>
              <w:top w:w="80" w:type="dxa"/>
              <w:start w:w="120" w:type="dxa"/>
              <w:bottom w:w="80" w:type="dxa"/>
              <w:end w:w="120" w:type="dxa"/>
            </w:tcMar>
            <w:vAlign w:val="center"/>
            <w:shd w:fill="F8FAFC"/>
          </w:tcPr>
          <w:p>
            <w:pPr>
              <w:spacing w:after="40" w:line="252" w:lineRule="auto"/>
            </w:pPr>
            <w:r>
              <w:rPr>
                <w:sz w:val="19"/>
              </w:rPr>
              <w:t>●</w:t>
            </w:r>
          </w:p>
        </w:tc>
        <w:tc>
          <w:tcPr>
            <w:tcW w:type="dxa" w:w="1133"/>
            <w:tcMar>
              <w:top w:w="80" w:type="dxa"/>
              <w:start w:w="120" w:type="dxa"/>
              <w:bottom w:w="80" w:type="dxa"/>
              <w:end w:w="120" w:type="dxa"/>
            </w:tcMar>
            <w:vAlign w:val="center"/>
            <w:shd w:fill="F8FAFC"/>
          </w:tcPr>
          <w:p>
            <w:pPr>
              <w:spacing w:after="40" w:line="252" w:lineRule="auto"/>
            </w:pPr>
            <w:r>
              <w:rPr>
                <w:sz w:val="19"/>
              </w:rPr>
              <w:t>●</w:t>
            </w:r>
          </w:p>
        </w:tc>
        <w:tc>
          <w:tcPr>
            <w:tcW w:type="dxa" w:w="1133"/>
            <w:tcMar>
              <w:top w:w="80" w:type="dxa"/>
              <w:start w:w="120" w:type="dxa"/>
              <w:bottom w:w="80" w:type="dxa"/>
              <w:end w:w="120" w:type="dxa"/>
            </w:tcMar>
            <w:vAlign w:val="center"/>
            <w:shd w:fill="F8FAFC"/>
          </w:tcPr>
          <w:p>
            <w:pPr>
              <w:spacing w:after="40" w:line="252" w:lineRule="auto"/>
            </w:pPr>
            <w:r>
              <w:rPr>
                <w:sz w:val="19"/>
              </w:rPr>
              <w:t>●</w:t>
            </w:r>
          </w:p>
        </w:tc>
        <w:tc>
          <w:tcPr>
            <w:tcW w:type="dxa" w:w="1133"/>
            <w:tcMar>
              <w:top w:w="80" w:type="dxa"/>
              <w:start w:w="120" w:type="dxa"/>
              <w:bottom w:w="80" w:type="dxa"/>
              <w:end w:w="120" w:type="dxa"/>
            </w:tcMar>
            <w:vAlign w:val="center"/>
            <w:shd w:fill="F8FAFC"/>
          </w:tcPr>
          <w:p>
            <w:pPr>
              <w:spacing w:after="40" w:line="252" w:lineRule="auto"/>
            </w:pPr>
            <w:r>
              <w:rPr>
                <w:sz w:val="19"/>
              </w:rPr>
            </w:r>
          </w:p>
        </w:tc>
        <w:tc>
          <w:tcPr>
            <w:tcW w:type="dxa" w:w="1133"/>
            <w:tcMar>
              <w:top w:w="80" w:type="dxa"/>
              <w:start w:w="120" w:type="dxa"/>
              <w:bottom w:w="80" w:type="dxa"/>
              <w:end w:w="120" w:type="dxa"/>
            </w:tcMar>
            <w:vAlign w:val="center"/>
            <w:shd w:fill="F8FAFC"/>
          </w:tcPr>
          <w:p>
            <w:pPr>
              <w:spacing w:after="40" w:line="252" w:lineRule="auto"/>
            </w:pPr>
            <w:r>
              <w:rPr>
                <w:sz w:val="19"/>
              </w:rPr>
            </w:r>
          </w:p>
        </w:tc>
        <w:tc>
          <w:tcPr>
            <w:tcW w:type="dxa" w:w="1135"/>
            <w:tcMar>
              <w:top w:w="80" w:type="dxa"/>
              <w:start w:w="120" w:type="dxa"/>
              <w:bottom w:w="80" w:type="dxa"/>
              <w:end w:w="120" w:type="dxa"/>
            </w:tcMar>
            <w:vAlign w:val="center"/>
            <w:shd w:fill="F8FAFC"/>
          </w:tcPr>
          <w:p>
            <w:pPr>
              <w:spacing w:after="40" w:line="252" w:lineRule="auto"/>
            </w:pPr>
            <w:r>
              <w:rPr>
                <w:sz w:val="19"/>
              </w:rPr>
            </w:r>
          </w:p>
        </w:tc>
      </w:tr>
      <w:tr>
        <w:trPr>
          <w:cantSplit/>
        </w:trPr>
        <w:tc>
          <w:tcPr>
            <w:tcW w:type="dxa" w:w="2560"/>
            <w:tcMar>
              <w:top w:w="80" w:type="dxa"/>
              <w:start w:w="120" w:type="dxa"/>
              <w:bottom w:w="80" w:type="dxa"/>
              <w:end w:w="120" w:type="dxa"/>
            </w:tcMar>
            <w:vAlign w:val="center"/>
          </w:tcPr>
          <w:p>
            <w:pPr>
              <w:spacing w:after="40" w:line="252" w:lineRule="auto"/>
            </w:pPr>
            <w:r>
              <w:rPr>
                <w:sz w:val="19"/>
              </w:rPr>
              <w:t>Procurement and installation</w:t>
            </w:r>
          </w:p>
        </w:tc>
        <w:tc>
          <w:tcPr>
            <w:tcW w:type="dxa" w:w="1133"/>
            <w:tcMar>
              <w:top w:w="80" w:type="dxa"/>
              <w:start w:w="120" w:type="dxa"/>
              <w:bottom w:w="80" w:type="dxa"/>
              <w:end w:w="120" w:type="dxa"/>
            </w:tcMar>
            <w:vAlign w:val="center"/>
          </w:tcPr>
          <w:p>
            <w:pPr>
              <w:spacing w:after="40" w:line="252" w:lineRule="auto"/>
            </w:pPr>
            <w:r>
              <w:rPr>
                <w:sz w:val="19"/>
              </w:rPr>
            </w:r>
          </w:p>
        </w:tc>
        <w:tc>
          <w:tcPr>
            <w:tcW w:type="dxa" w:w="1133"/>
            <w:tcMar>
              <w:top w:w="80" w:type="dxa"/>
              <w:start w:w="120" w:type="dxa"/>
              <w:bottom w:w="80" w:type="dxa"/>
              <w:end w:w="120" w:type="dxa"/>
            </w:tcMar>
            <w:vAlign w:val="center"/>
          </w:tcPr>
          <w:p>
            <w:pPr>
              <w:spacing w:after="40" w:line="252" w:lineRule="auto"/>
            </w:pPr>
            <w:r>
              <w:rPr>
                <w:sz w:val="19"/>
              </w:rPr>
              <w:t>●</w:t>
            </w:r>
          </w:p>
        </w:tc>
        <w:tc>
          <w:tcPr>
            <w:tcW w:type="dxa" w:w="1133"/>
            <w:tcMar>
              <w:top w:w="80" w:type="dxa"/>
              <w:start w:w="120" w:type="dxa"/>
              <w:bottom w:w="80" w:type="dxa"/>
              <w:end w:w="120" w:type="dxa"/>
            </w:tcMar>
            <w:vAlign w:val="center"/>
          </w:tcPr>
          <w:p>
            <w:pPr>
              <w:spacing w:after="40" w:line="252" w:lineRule="auto"/>
            </w:pPr>
            <w:r>
              <w:rPr>
                <w:sz w:val="19"/>
              </w:rPr>
              <w:t>●</w:t>
            </w:r>
          </w:p>
        </w:tc>
        <w:tc>
          <w:tcPr>
            <w:tcW w:type="dxa" w:w="1133"/>
            <w:tcMar>
              <w:top w:w="80" w:type="dxa"/>
              <w:start w:w="120" w:type="dxa"/>
              <w:bottom w:w="80" w:type="dxa"/>
              <w:end w:w="120" w:type="dxa"/>
            </w:tcMar>
            <w:vAlign w:val="center"/>
          </w:tcPr>
          <w:p>
            <w:pPr>
              <w:spacing w:after="40" w:line="252" w:lineRule="auto"/>
            </w:pPr>
            <w:r>
              <w:rPr>
                <w:sz w:val="19"/>
              </w:rPr>
            </w:r>
          </w:p>
        </w:tc>
        <w:tc>
          <w:tcPr>
            <w:tcW w:type="dxa" w:w="1133"/>
            <w:tcMar>
              <w:top w:w="80" w:type="dxa"/>
              <w:start w:w="120" w:type="dxa"/>
              <w:bottom w:w="80" w:type="dxa"/>
              <w:end w:w="120" w:type="dxa"/>
            </w:tcMar>
            <w:vAlign w:val="center"/>
          </w:tcPr>
          <w:p>
            <w:pPr>
              <w:spacing w:after="40" w:line="252" w:lineRule="auto"/>
            </w:pPr>
            <w:r>
              <w:rPr>
                <w:sz w:val="19"/>
              </w:rPr>
            </w:r>
          </w:p>
        </w:tc>
        <w:tc>
          <w:tcPr>
            <w:tcW w:type="dxa" w:w="1135"/>
            <w:tcMar>
              <w:top w:w="80" w:type="dxa"/>
              <w:start w:w="120" w:type="dxa"/>
              <w:bottom w:w="80" w:type="dxa"/>
              <w:end w:w="120" w:type="dxa"/>
            </w:tcMar>
            <w:vAlign w:val="center"/>
          </w:tcPr>
          <w:p>
            <w:pPr>
              <w:spacing w:after="40" w:line="252" w:lineRule="auto"/>
            </w:pPr>
            <w:r>
              <w:rPr>
                <w:sz w:val="19"/>
              </w:rPr>
            </w:r>
          </w:p>
        </w:tc>
      </w:tr>
      <w:tr>
        <w:trPr>
          <w:cantSplit/>
        </w:trPr>
        <w:tc>
          <w:tcPr>
            <w:tcW w:type="dxa" w:w="2560"/>
            <w:tcMar>
              <w:top w:w="80" w:type="dxa"/>
              <w:start w:w="120" w:type="dxa"/>
              <w:bottom w:w="80" w:type="dxa"/>
              <w:end w:w="120" w:type="dxa"/>
            </w:tcMar>
            <w:vAlign w:val="center"/>
            <w:shd w:fill="F8FAFC"/>
          </w:tcPr>
          <w:p>
            <w:pPr>
              <w:spacing w:after="40" w:line="252" w:lineRule="auto"/>
            </w:pPr>
            <w:r>
              <w:rPr>
                <w:sz w:val="19"/>
              </w:rPr>
              <w:t>SOPs and training</w:t>
            </w:r>
          </w:p>
        </w:tc>
        <w:tc>
          <w:tcPr>
            <w:tcW w:type="dxa" w:w="1133"/>
            <w:tcMar>
              <w:top w:w="80" w:type="dxa"/>
              <w:start w:w="120" w:type="dxa"/>
              <w:bottom w:w="80" w:type="dxa"/>
              <w:end w:w="120" w:type="dxa"/>
            </w:tcMar>
            <w:vAlign w:val="center"/>
            <w:shd w:fill="F8FAFC"/>
          </w:tcPr>
          <w:p>
            <w:pPr>
              <w:spacing w:after="40" w:line="252" w:lineRule="auto"/>
            </w:pPr>
            <w:r>
              <w:rPr>
                <w:sz w:val="19"/>
              </w:rPr>
            </w:r>
          </w:p>
        </w:tc>
        <w:tc>
          <w:tcPr>
            <w:tcW w:type="dxa" w:w="1133"/>
            <w:tcMar>
              <w:top w:w="80" w:type="dxa"/>
              <w:start w:w="120" w:type="dxa"/>
              <w:bottom w:w="80" w:type="dxa"/>
              <w:end w:w="120" w:type="dxa"/>
            </w:tcMar>
            <w:vAlign w:val="center"/>
            <w:shd w:fill="F8FAFC"/>
          </w:tcPr>
          <w:p>
            <w:pPr>
              <w:spacing w:after="40" w:line="252" w:lineRule="auto"/>
            </w:pPr>
            <w:r>
              <w:rPr>
                <w:sz w:val="19"/>
              </w:rPr>
              <w:t>●</w:t>
            </w:r>
          </w:p>
        </w:tc>
        <w:tc>
          <w:tcPr>
            <w:tcW w:type="dxa" w:w="1133"/>
            <w:tcMar>
              <w:top w:w="80" w:type="dxa"/>
              <w:start w:w="120" w:type="dxa"/>
              <w:bottom w:w="80" w:type="dxa"/>
              <w:end w:w="120" w:type="dxa"/>
            </w:tcMar>
            <w:vAlign w:val="center"/>
            <w:shd w:fill="F8FAFC"/>
          </w:tcPr>
          <w:p>
            <w:pPr>
              <w:spacing w:after="40" w:line="252" w:lineRule="auto"/>
            </w:pPr>
            <w:r>
              <w:rPr>
                <w:sz w:val="19"/>
              </w:rPr>
              <w:t>●</w:t>
            </w:r>
          </w:p>
        </w:tc>
        <w:tc>
          <w:tcPr>
            <w:tcW w:type="dxa" w:w="1133"/>
            <w:tcMar>
              <w:top w:w="80" w:type="dxa"/>
              <w:start w:w="120" w:type="dxa"/>
              <w:bottom w:w="80" w:type="dxa"/>
              <w:end w:w="120" w:type="dxa"/>
            </w:tcMar>
            <w:vAlign w:val="center"/>
            <w:shd w:fill="F8FAFC"/>
          </w:tcPr>
          <w:p>
            <w:pPr>
              <w:spacing w:after="40" w:line="252" w:lineRule="auto"/>
            </w:pPr>
            <w:r>
              <w:rPr>
                <w:sz w:val="19"/>
              </w:rPr>
              <w:t>●</w:t>
            </w:r>
          </w:p>
        </w:tc>
        <w:tc>
          <w:tcPr>
            <w:tcW w:type="dxa" w:w="1133"/>
            <w:tcMar>
              <w:top w:w="80" w:type="dxa"/>
              <w:start w:w="120" w:type="dxa"/>
              <w:bottom w:w="80" w:type="dxa"/>
              <w:end w:w="120" w:type="dxa"/>
            </w:tcMar>
            <w:vAlign w:val="center"/>
            <w:shd w:fill="F8FAFC"/>
          </w:tcPr>
          <w:p>
            <w:pPr>
              <w:spacing w:after="40" w:line="252" w:lineRule="auto"/>
            </w:pPr>
            <w:r>
              <w:rPr>
                <w:sz w:val="19"/>
              </w:rPr>
            </w:r>
          </w:p>
        </w:tc>
        <w:tc>
          <w:tcPr>
            <w:tcW w:type="dxa" w:w="1135"/>
            <w:tcMar>
              <w:top w:w="80" w:type="dxa"/>
              <w:start w:w="120" w:type="dxa"/>
              <w:bottom w:w="80" w:type="dxa"/>
              <w:end w:w="120" w:type="dxa"/>
            </w:tcMar>
            <w:vAlign w:val="center"/>
            <w:shd w:fill="F8FAFC"/>
          </w:tcPr>
          <w:p>
            <w:pPr>
              <w:spacing w:after="40" w:line="252" w:lineRule="auto"/>
            </w:pPr>
            <w:r>
              <w:rPr>
                <w:sz w:val="19"/>
              </w:rPr>
            </w:r>
          </w:p>
        </w:tc>
      </w:tr>
      <w:tr>
        <w:trPr>
          <w:cantSplit/>
        </w:trPr>
        <w:tc>
          <w:tcPr>
            <w:tcW w:type="dxa" w:w="2560"/>
            <w:tcMar>
              <w:top w:w="80" w:type="dxa"/>
              <w:start w:w="120" w:type="dxa"/>
              <w:bottom w:w="80" w:type="dxa"/>
              <w:end w:w="120" w:type="dxa"/>
            </w:tcMar>
            <w:vAlign w:val="center"/>
          </w:tcPr>
          <w:p>
            <w:pPr>
              <w:spacing w:after="40" w:line="252" w:lineRule="auto"/>
            </w:pPr>
            <w:r>
              <w:rPr>
                <w:sz w:val="19"/>
              </w:rPr>
              <w:t>Collection network testing</w:t>
            </w:r>
          </w:p>
        </w:tc>
        <w:tc>
          <w:tcPr>
            <w:tcW w:type="dxa" w:w="1133"/>
            <w:tcMar>
              <w:top w:w="80" w:type="dxa"/>
              <w:start w:w="120" w:type="dxa"/>
              <w:bottom w:w="80" w:type="dxa"/>
              <w:end w:w="120" w:type="dxa"/>
            </w:tcMar>
            <w:vAlign w:val="center"/>
          </w:tcPr>
          <w:p>
            <w:pPr>
              <w:spacing w:after="40" w:line="252" w:lineRule="auto"/>
            </w:pPr>
            <w:r>
              <w:rPr>
                <w:sz w:val="19"/>
              </w:rPr>
            </w:r>
          </w:p>
        </w:tc>
        <w:tc>
          <w:tcPr>
            <w:tcW w:type="dxa" w:w="1133"/>
            <w:tcMar>
              <w:top w:w="80" w:type="dxa"/>
              <w:start w:w="120" w:type="dxa"/>
              <w:bottom w:w="80" w:type="dxa"/>
              <w:end w:w="120" w:type="dxa"/>
            </w:tcMar>
            <w:vAlign w:val="center"/>
          </w:tcPr>
          <w:p>
            <w:pPr>
              <w:spacing w:after="40" w:line="252" w:lineRule="auto"/>
            </w:pPr>
            <w:r>
              <w:rPr>
                <w:sz w:val="19"/>
              </w:rPr>
            </w:r>
          </w:p>
        </w:tc>
        <w:tc>
          <w:tcPr>
            <w:tcW w:type="dxa" w:w="1133"/>
            <w:tcMar>
              <w:top w:w="80" w:type="dxa"/>
              <w:start w:w="120" w:type="dxa"/>
              <w:bottom w:w="80" w:type="dxa"/>
              <w:end w:w="120" w:type="dxa"/>
            </w:tcMar>
            <w:vAlign w:val="center"/>
          </w:tcPr>
          <w:p>
            <w:pPr>
              <w:spacing w:after="40" w:line="252" w:lineRule="auto"/>
            </w:pPr>
            <w:r>
              <w:rPr>
                <w:sz w:val="19"/>
              </w:rPr>
              <w:t>●</w:t>
            </w:r>
          </w:p>
        </w:tc>
        <w:tc>
          <w:tcPr>
            <w:tcW w:type="dxa" w:w="1133"/>
            <w:tcMar>
              <w:top w:w="80" w:type="dxa"/>
              <w:start w:w="120" w:type="dxa"/>
              <w:bottom w:w="80" w:type="dxa"/>
              <w:end w:w="120" w:type="dxa"/>
            </w:tcMar>
            <w:vAlign w:val="center"/>
          </w:tcPr>
          <w:p>
            <w:pPr>
              <w:spacing w:after="40" w:line="252" w:lineRule="auto"/>
            </w:pPr>
            <w:r>
              <w:rPr>
                <w:sz w:val="19"/>
              </w:rPr>
              <w:t>●</w:t>
            </w:r>
          </w:p>
        </w:tc>
        <w:tc>
          <w:tcPr>
            <w:tcW w:type="dxa" w:w="1133"/>
            <w:tcMar>
              <w:top w:w="80" w:type="dxa"/>
              <w:start w:w="120" w:type="dxa"/>
              <w:bottom w:w="80" w:type="dxa"/>
              <w:end w:w="120" w:type="dxa"/>
            </w:tcMar>
            <w:vAlign w:val="center"/>
          </w:tcPr>
          <w:p>
            <w:pPr>
              <w:spacing w:after="40" w:line="252" w:lineRule="auto"/>
            </w:pPr>
            <w:r>
              <w:rPr>
                <w:sz w:val="19"/>
              </w:rPr>
              <w:t>●</w:t>
            </w:r>
          </w:p>
        </w:tc>
        <w:tc>
          <w:tcPr>
            <w:tcW w:type="dxa" w:w="1135"/>
            <w:tcMar>
              <w:top w:w="80" w:type="dxa"/>
              <w:start w:w="120" w:type="dxa"/>
              <w:bottom w:w="80" w:type="dxa"/>
              <w:end w:w="120" w:type="dxa"/>
            </w:tcMar>
            <w:vAlign w:val="center"/>
          </w:tcPr>
          <w:p>
            <w:pPr>
              <w:spacing w:after="40" w:line="252" w:lineRule="auto"/>
            </w:pPr>
            <w:r>
              <w:rPr>
                <w:sz w:val="19"/>
              </w:rPr>
            </w:r>
          </w:p>
        </w:tc>
      </w:tr>
      <w:tr>
        <w:trPr>
          <w:cantSplit/>
        </w:trPr>
        <w:tc>
          <w:tcPr>
            <w:tcW w:type="dxa" w:w="2560"/>
            <w:tcMar>
              <w:top w:w="80" w:type="dxa"/>
              <w:start w:w="120" w:type="dxa"/>
              <w:bottom w:w="80" w:type="dxa"/>
              <w:end w:w="120" w:type="dxa"/>
            </w:tcMar>
            <w:vAlign w:val="center"/>
            <w:shd w:fill="F8FAFC"/>
          </w:tcPr>
          <w:p>
            <w:pPr>
              <w:spacing w:after="40" w:line="252" w:lineRule="auto"/>
            </w:pPr>
            <w:r>
              <w:rPr>
                <w:sz w:val="19"/>
              </w:rPr>
              <w:t>Diagnostics and classification pilot</w:t>
            </w:r>
          </w:p>
        </w:tc>
        <w:tc>
          <w:tcPr>
            <w:tcW w:type="dxa" w:w="1133"/>
            <w:tcMar>
              <w:top w:w="80" w:type="dxa"/>
              <w:start w:w="120" w:type="dxa"/>
              <w:bottom w:w="80" w:type="dxa"/>
              <w:end w:w="120" w:type="dxa"/>
            </w:tcMar>
            <w:vAlign w:val="center"/>
            <w:shd w:fill="F8FAFC"/>
          </w:tcPr>
          <w:p>
            <w:pPr>
              <w:spacing w:after="40" w:line="252" w:lineRule="auto"/>
            </w:pPr>
            <w:r>
              <w:rPr>
                <w:sz w:val="19"/>
              </w:rPr>
            </w:r>
          </w:p>
        </w:tc>
        <w:tc>
          <w:tcPr>
            <w:tcW w:type="dxa" w:w="1133"/>
            <w:tcMar>
              <w:top w:w="80" w:type="dxa"/>
              <w:start w:w="120" w:type="dxa"/>
              <w:bottom w:w="80" w:type="dxa"/>
              <w:end w:w="120" w:type="dxa"/>
            </w:tcMar>
            <w:vAlign w:val="center"/>
            <w:shd w:fill="F8FAFC"/>
          </w:tcPr>
          <w:p>
            <w:pPr>
              <w:spacing w:after="40" w:line="252" w:lineRule="auto"/>
            </w:pPr>
            <w:r>
              <w:rPr>
                <w:sz w:val="19"/>
              </w:rPr>
            </w:r>
          </w:p>
        </w:tc>
        <w:tc>
          <w:tcPr>
            <w:tcW w:type="dxa" w:w="1133"/>
            <w:tcMar>
              <w:top w:w="80" w:type="dxa"/>
              <w:start w:w="120" w:type="dxa"/>
              <w:bottom w:w="80" w:type="dxa"/>
              <w:end w:w="120" w:type="dxa"/>
            </w:tcMar>
            <w:vAlign w:val="center"/>
            <w:shd w:fill="F8FAFC"/>
          </w:tcPr>
          <w:p>
            <w:pPr>
              <w:spacing w:after="40" w:line="252" w:lineRule="auto"/>
            </w:pPr>
            <w:r>
              <w:rPr>
                <w:sz w:val="19"/>
              </w:rPr>
              <w:t>●</w:t>
            </w:r>
          </w:p>
        </w:tc>
        <w:tc>
          <w:tcPr>
            <w:tcW w:type="dxa" w:w="1133"/>
            <w:tcMar>
              <w:top w:w="80" w:type="dxa"/>
              <w:start w:w="120" w:type="dxa"/>
              <w:bottom w:w="80" w:type="dxa"/>
              <w:end w:w="120" w:type="dxa"/>
            </w:tcMar>
            <w:vAlign w:val="center"/>
            <w:shd w:fill="F8FAFC"/>
          </w:tcPr>
          <w:p>
            <w:pPr>
              <w:spacing w:after="40" w:line="252" w:lineRule="auto"/>
            </w:pPr>
            <w:r>
              <w:rPr>
                <w:sz w:val="19"/>
              </w:rPr>
              <w:t>●</w:t>
            </w:r>
          </w:p>
        </w:tc>
        <w:tc>
          <w:tcPr>
            <w:tcW w:type="dxa" w:w="1133"/>
            <w:tcMar>
              <w:top w:w="80" w:type="dxa"/>
              <w:start w:w="120" w:type="dxa"/>
              <w:bottom w:w="80" w:type="dxa"/>
              <w:end w:w="120" w:type="dxa"/>
            </w:tcMar>
            <w:vAlign w:val="center"/>
            <w:shd w:fill="F8FAFC"/>
          </w:tcPr>
          <w:p>
            <w:pPr>
              <w:spacing w:after="40" w:line="252" w:lineRule="auto"/>
            </w:pPr>
            <w:r>
              <w:rPr>
                <w:sz w:val="19"/>
              </w:rPr>
              <w:t>●</w:t>
            </w:r>
          </w:p>
        </w:tc>
        <w:tc>
          <w:tcPr>
            <w:tcW w:type="dxa" w:w="1135"/>
            <w:tcMar>
              <w:top w:w="80" w:type="dxa"/>
              <w:start w:w="120" w:type="dxa"/>
              <w:bottom w:w="80" w:type="dxa"/>
              <w:end w:w="120" w:type="dxa"/>
            </w:tcMar>
            <w:vAlign w:val="center"/>
            <w:shd w:fill="F8FAFC"/>
          </w:tcPr>
          <w:p>
            <w:pPr>
              <w:spacing w:after="40" w:line="252" w:lineRule="auto"/>
            </w:pPr>
            <w:r>
              <w:rPr>
                <w:sz w:val="19"/>
              </w:rPr>
            </w:r>
          </w:p>
        </w:tc>
      </w:tr>
      <w:tr>
        <w:trPr>
          <w:cantSplit/>
        </w:trPr>
        <w:tc>
          <w:tcPr>
            <w:tcW w:type="dxa" w:w="2560"/>
            <w:tcMar>
              <w:top w:w="80" w:type="dxa"/>
              <w:start w:w="120" w:type="dxa"/>
              <w:bottom w:w="80" w:type="dxa"/>
              <w:end w:w="120" w:type="dxa"/>
            </w:tcMar>
            <w:vAlign w:val="center"/>
          </w:tcPr>
          <w:p>
            <w:pPr>
              <w:spacing w:after="40" w:line="252" w:lineRule="auto"/>
            </w:pPr>
            <w:r>
              <w:rPr>
                <w:sz w:val="19"/>
              </w:rPr>
              <w:t>Data analysis</w:t>
            </w:r>
          </w:p>
        </w:tc>
        <w:tc>
          <w:tcPr>
            <w:tcW w:type="dxa" w:w="1133"/>
            <w:tcMar>
              <w:top w:w="80" w:type="dxa"/>
              <w:start w:w="120" w:type="dxa"/>
              <w:bottom w:w="80" w:type="dxa"/>
              <w:end w:w="120" w:type="dxa"/>
            </w:tcMar>
            <w:vAlign w:val="center"/>
          </w:tcPr>
          <w:p>
            <w:pPr>
              <w:spacing w:after="40" w:line="252" w:lineRule="auto"/>
            </w:pPr>
            <w:r>
              <w:rPr>
                <w:sz w:val="19"/>
              </w:rPr>
            </w:r>
          </w:p>
        </w:tc>
        <w:tc>
          <w:tcPr>
            <w:tcW w:type="dxa" w:w="1133"/>
            <w:tcMar>
              <w:top w:w="80" w:type="dxa"/>
              <w:start w:w="120" w:type="dxa"/>
              <w:bottom w:w="80" w:type="dxa"/>
              <w:end w:w="120" w:type="dxa"/>
            </w:tcMar>
            <w:vAlign w:val="center"/>
          </w:tcPr>
          <w:p>
            <w:pPr>
              <w:spacing w:after="40" w:line="252" w:lineRule="auto"/>
            </w:pPr>
            <w:r>
              <w:rPr>
                <w:sz w:val="19"/>
              </w:rPr>
            </w:r>
          </w:p>
        </w:tc>
        <w:tc>
          <w:tcPr>
            <w:tcW w:type="dxa" w:w="1133"/>
            <w:tcMar>
              <w:top w:w="80" w:type="dxa"/>
              <w:start w:w="120" w:type="dxa"/>
              <w:bottom w:w="80" w:type="dxa"/>
              <w:end w:w="120" w:type="dxa"/>
            </w:tcMar>
            <w:vAlign w:val="center"/>
          </w:tcPr>
          <w:p>
            <w:pPr>
              <w:spacing w:after="40" w:line="252" w:lineRule="auto"/>
            </w:pPr>
            <w:r>
              <w:rPr>
                <w:sz w:val="19"/>
              </w:rPr>
            </w:r>
          </w:p>
        </w:tc>
        <w:tc>
          <w:tcPr>
            <w:tcW w:type="dxa" w:w="1133"/>
            <w:tcMar>
              <w:top w:w="80" w:type="dxa"/>
              <w:start w:w="120" w:type="dxa"/>
              <w:bottom w:w="80" w:type="dxa"/>
              <w:end w:w="120" w:type="dxa"/>
            </w:tcMar>
            <w:vAlign w:val="center"/>
          </w:tcPr>
          <w:p>
            <w:pPr>
              <w:spacing w:after="40" w:line="252" w:lineRule="auto"/>
            </w:pPr>
            <w:r>
              <w:rPr>
                <w:sz w:val="19"/>
              </w:rPr>
              <w:t>●</w:t>
            </w:r>
          </w:p>
        </w:tc>
        <w:tc>
          <w:tcPr>
            <w:tcW w:type="dxa" w:w="1133"/>
            <w:tcMar>
              <w:top w:w="80" w:type="dxa"/>
              <w:start w:w="120" w:type="dxa"/>
              <w:bottom w:w="80" w:type="dxa"/>
              <w:end w:w="120" w:type="dxa"/>
            </w:tcMar>
            <w:vAlign w:val="center"/>
          </w:tcPr>
          <w:p>
            <w:pPr>
              <w:spacing w:after="40" w:line="252" w:lineRule="auto"/>
            </w:pPr>
            <w:r>
              <w:rPr>
                <w:sz w:val="19"/>
              </w:rPr>
              <w:t>●</w:t>
            </w:r>
          </w:p>
        </w:tc>
        <w:tc>
          <w:tcPr>
            <w:tcW w:type="dxa" w:w="1135"/>
            <w:tcMar>
              <w:top w:w="80" w:type="dxa"/>
              <w:start w:w="120" w:type="dxa"/>
              <w:bottom w:w="80" w:type="dxa"/>
              <w:end w:w="120" w:type="dxa"/>
            </w:tcMar>
            <w:vAlign w:val="center"/>
          </w:tcPr>
          <w:p>
            <w:pPr>
              <w:spacing w:after="40" w:line="252" w:lineRule="auto"/>
            </w:pPr>
            <w:r>
              <w:rPr>
                <w:sz w:val="19"/>
              </w:rPr>
              <w:t>●</w:t>
            </w:r>
          </w:p>
        </w:tc>
      </w:tr>
      <w:tr>
        <w:trPr>
          <w:cantSplit/>
        </w:trPr>
        <w:tc>
          <w:tcPr>
            <w:tcW w:type="dxa" w:w="2560"/>
            <w:tcMar>
              <w:top w:w="80" w:type="dxa"/>
              <w:start w:w="120" w:type="dxa"/>
              <w:bottom w:w="80" w:type="dxa"/>
              <w:end w:w="120" w:type="dxa"/>
            </w:tcMar>
            <w:vAlign w:val="center"/>
            <w:shd w:fill="F8FAFC"/>
          </w:tcPr>
          <w:p>
            <w:pPr>
              <w:spacing w:after="40" w:line="252" w:lineRule="auto"/>
            </w:pPr>
            <w:r>
              <w:rPr>
                <w:sz w:val="19"/>
              </w:rPr>
              <w:t>Policy recommendations and scale-up mapping</w:t>
            </w:r>
          </w:p>
        </w:tc>
        <w:tc>
          <w:tcPr>
            <w:tcW w:type="dxa" w:w="1133"/>
            <w:tcMar>
              <w:top w:w="80" w:type="dxa"/>
              <w:start w:w="120" w:type="dxa"/>
              <w:bottom w:w="80" w:type="dxa"/>
              <w:end w:w="120" w:type="dxa"/>
            </w:tcMar>
            <w:vAlign w:val="center"/>
            <w:shd w:fill="F8FAFC"/>
          </w:tcPr>
          <w:p>
            <w:pPr>
              <w:spacing w:after="40" w:line="252" w:lineRule="auto"/>
            </w:pPr>
            <w:r>
              <w:rPr>
                <w:sz w:val="19"/>
              </w:rPr>
            </w:r>
          </w:p>
        </w:tc>
        <w:tc>
          <w:tcPr>
            <w:tcW w:type="dxa" w:w="1133"/>
            <w:tcMar>
              <w:top w:w="80" w:type="dxa"/>
              <w:start w:w="120" w:type="dxa"/>
              <w:bottom w:w="80" w:type="dxa"/>
              <w:end w:w="120" w:type="dxa"/>
            </w:tcMar>
            <w:vAlign w:val="center"/>
            <w:shd w:fill="F8FAFC"/>
          </w:tcPr>
          <w:p>
            <w:pPr>
              <w:spacing w:after="40" w:line="252" w:lineRule="auto"/>
            </w:pPr>
            <w:r>
              <w:rPr>
                <w:sz w:val="19"/>
              </w:rPr>
            </w:r>
          </w:p>
        </w:tc>
        <w:tc>
          <w:tcPr>
            <w:tcW w:type="dxa" w:w="1133"/>
            <w:tcMar>
              <w:top w:w="80" w:type="dxa"/>
              <w:start w:w="120" w:type="dxa"/>
              <w:bottom w:w="80" w:type="dxa"/>
              <w:end w:w="120" w:type="dxa"/>
            </w:tcMar>
            <w:vAlign w:val="center"/>
            <w:shd w:fill="F8FAFC"/>
          </w:tcPr>
          <w:p>
            <w:pPr>
              <w:spacing w:after="40" w:line="252" w:lineRule="auto"/>
            </w:pPr>
            <w:r>
              <w:rPr>
                <w:sz w:val="19"/>
              </w:rPr>
            </w:r>
          </w:p>
        </w:tc>
        <w:tc>
          <w:tcPr>
            <w:tcW w:type="dxa" w:w="1133"/>
            <w:tcMar>
              <w:top w:w="80" w:type="dxa"/>
              <w:start w:w="120" w:type="dxa"/>
              <w:bottom w:w="80" w:type="dxa"/>
              <w:end w:w="120" w:type="dxa"/>
            </w:tcMar>
            <w:vAlign w:val="center"/>
            <w:shd w:fill="F8FAFC"/>
          </w:tcPr>
          <w:p>
            <w:pPr>
              <w:spacing w:after="40" w:line="252" w:lineRule="auto"/>
            </w:pPr>
            <w:r>
              <w:rPr>
                <w:sz w:val="19"/>
              </w:rPr>
            </w:r>
          </w:p>
        </w:tc>
        <w:tc>
          <w:tcPr>
            <w:tcW w:type="dxa" w:w="1133"/>
            <w:tcMar>
              <w:top w:w="80" w:type="dxa"/>
              <w:start w:w="120" w:type="dxa"/>
              <w:bottom w:w="80" w:type="dxa"/>
              <w:end w:w="120" w:type="dxa"/>
            </w:tcMar>
            <w:vAlign w:val="center"/>
            <w:shd w:fill="F8FAFC"/>
          </w:tcPr>
          <w:p>
            <w:pPr>
              <w:spacing w:after="40" w:line="252" w:lineRule="auto"/>
            </w:pPr>
            <w:r>
              <w:rPr>
                <w:sz w:val="19"/>
              </w:rPr>
            </w:r>
          </w:p>
        </w:tc>
        <w:tc>
          <w:tcPr>
            <w:tcW w:type="dxa" w:w="1135"/>
            <w:tcMar>
              <w:top w:w="80" w:type="dxa"/>
              <w:start w:w="120" w:type="dxa"/>
              <w:bottom w:w="80" w:type="dxa"/>
              <w:end w:w="120" w:type="dxa"/>
            </w:tcMar>
            <w:vAlign w:val="center"/>
            <w:shd w:fill="F8FAFC"/>
          </w:tcPr>
          <w:p>
            <w:pPr>
              <w:spacing w:after="40" w:line="252" w:lineRule="auto"/>
            </w:pPr>
            <w:r>
              <w:rPr>
                <w:sz w:val="19"/>
              </w:rPr>
              <w:t>●</w:t>
            </w:r>
          </w:p>
        </w:tc>
      </w:tr>
    </w:tbl>
    <w:p>
      <w:pPr>
        <w:spacing w:after="20"/>
      </w:pPr>
    </w:p>
    <w:p>
      <w:pPr>
        <w:pStyle w:val="Heading2"/>
      </w:pPr>
      <w:r>
        <w:t>Stage Gates</w:t>
      </w:r>
    </w:p>
    <w:tbl>
      <w:tblPr>
        <w:tblStyle w:val="TableGrid"/>
        <w:tblW w:type="dxa" w:w="9360"/>
        <w:jc w:val="center"/>
        <w:tblLayout w:type="fixed"/>
        <w:tblLook w:firstColumn="1" w:firstRow="1" w:lastColumn="0" w:lastRow="0" w:noHBand="0" w:noVBand="1" w:val="04A0"/>
        <w:tblInd w:w="120" w:type="dxa"/>
      </w:tblPr>
      <w:tblGrid>
        <w:gridCol w:w="2000"/>
        <w:gridCol w:w="7360"/>
      </w:tblGrid>
      <w:tr>
        <w:trPr>
          <w:tblHeader w:val="true"/>
          <w:cantSplit/>
        </w:trPr>
        <w:tc>
          <w:tcPr>
            <w:tcW w:type="dxa" w:w="2000"/>
            <w:tcMar>
              <w:top w:w="80" w:type="dxa"/>
              <w:start w:w="120" w:type="dxa"/>
              <w:bottom w:w="80" w:type="dxa"/>
              <w:end w:w="120" w:type="dxa"/>
            </w:tcMar>
            <w:vAlign w:val="center"/>
            <w:shd w:fill="1F4D78"/>
          </w:tcPr>
          <w:p>
            <w:pPr>
              <w:spacing w:after="40" w:line="252" w:lineRule="auto"/>
            </w:pPr>
            <w:r>
              <w:rPr>
                <w:b/>
                <w:color w:val="FFFFFF"/>
                <w:sz w:val="19"/>
              </w:rPr>
              <w:t>Gate</w:t>
            </w:r>
          </w:p>
        </w:tc>
        <w:tc>
          <w:tcPr>
            <w:tcW w:type="dxa" w:w="7360"/>
            <w:tcMar>
              <w:top w:w="80" w:type="dxa"/>
              <w:start w:w="120" w:type="dxa"/>
              <w:bottom w:w="80" w:type="dxa"/>
              <w:end w:w="120" w:type="dxa"/>
            </w:tcMar>
            <w:vAlign w:val="center"/>
            <w:shd w:fill="1F4D78"/>
          </w:tcPr>
          <w:p>
            <w:pPr>
              <w:spacing w:after="40" w:line="252" w:lineRule="auto"/>
            </w:pPr>
            <w:r>
              <w:rPr>
                <w:b/>
                <w:color w:val="FFFFFF"/>
                <w:sz w:val="19"/>
              </w:rPr>
              <w:t>Decision Condition</w:t>
            </w:r>
          </w:p>
        </w:tc>
      </w:tr>
      <w:tr>
        <w:trPr>
          <w:cantSplit/>
        </w:trPr>
        <w:tc>
          <w:tcPr>
            <w:tcW w:type="dxa" w:w="2000"/>
            <w:tcMar>
              <w:top w:w="80" w:type="dxa"/>
              <w:start w:w="120" w:type="dxa"/>
              <w:bottom w:w="80" w:type="dxa"/>
              <w:end w:w="120" w:type="dxa"/>
            </w:tcMar>
            <w:vAlign w:val="center"/>
          </w:tcPr>
          <w:p>
            <w:pPr>
              <w:spacing w:after="40" w:line="252" w:lineRule="auto"/>
            </w:pPr>
            <w:r>
              <w:rPr>
                <w:sz w:val="19"/>
              </w:rPr>
              <w:t>G1 — Proceed to Design</w:t>
            </w:r>
          </w:p>
        </w:tc>
        <w:tc>
          <w:tcPr>
            <w:tcW w:type="dxa" w:w="7360"/>
            <w:tcMar>
              <w:top w:w="80" w:type="dxa"/>
              <w:start w:w="120" w:type="dxa"/>
              <w:bottom w:w="80" w:type="dxa"/>
              <w:end w:w="120" w:type="dxa"/>
            </w:tcMar>
            <w:vAlign w:val="center"/>
          </w:tcPr>
          <w:p>
            <w:pPr>
              <w:spacing w:after="40" w:line="252" w:lineRule="auto"/>
            </w:pPr>
            <w:r>
              <w:rPr>
                <w:sz w:val="19"/>
              </w:rPr>
              <w:t>Site shortlist, regulatory matrix, and preliminary risk assessment approved</w:t>
            </w:r>
          </w:p>
        </w:tc>
      </w:tr>
      <w:tr>
        <w:trPr>
          <w:cantSplit/>
        </w:trPr>
        <w:tc>
          <w:tcPr>
            <w:tcW w:type="dxa" w:w="2000"/>
            <w:tcMar>
              <w:top w:w="80" w:type="dxa"/>
              <w:start w:w="120" w:type="dxa"/>
              <w:bottom w:w="80" w:type="dxa"/>
              <w:end w:w="120" w:type="dxa"/>
            </w:tcMar>
            <w:vAlign w:val="center"/>
            <w:shd w:fill="F8FAFC"/>
          </w:tcPr>
          <w:p>
            <w:pPr>
              <w:spacing w:after="40" w:line="252" w:lineRule="auto"/>
            </w:pPr>
            <w:r>
              <w:rPr>
                <w:sz w:val="19"/>
              </w:rPr>
              <w:t>G2 — Begin Installation</w:t>
            </w:r>
          </w:p>
        </w:tc>
        <w:tc>
          <w:tcPr>
            <w:tcW w:type="dxa" w:w="7360"/>
            <w:tcMar>
              <w:top w:w="80" w:type="dxa"/>
              <w:start w:w="120" w:type="dxa"/>
              <w:bottom w:w="80" w:type="dxa"/>
              <w:end w:w="120" w:type="dxa"/>
            </w:tcMar>
            <w:vAlign w:val="center"/>
            <w:shd w:fill="F8FAFC"/>
          </w:tcPr>
          <w:p>
            <w:pPr>
              <w:spacing w:after="40" w:line="252" w:lineRule="auto"/>
            </w:pPr>
            <w:r>
              <w:rPr>
                <w:sz w:val="19"/>
              </w:rPr>
              <w:t>Permitting pathway clear, design approved, procurement review complete</w:t>
            </w:r>
          </w:p>
        </w:tc>
      </w:tr>
      <w:tr>
        <w:trPr>
          <w:cantSplit/>
        </w:trPr>
        <w:tc>
          <w:tcPr>
            <w:tcW w:type="dxa" w:w="2000"/>
            <w:tcMar>
              <w:top w:w="80" w:type="dxa"/>
              <w:start w:w="120" w:type="dxa"/>
              <w:bottom w:w="80" w:type="dxa"/>
              <w:end w:w="120" w:type="dxa"/>
            </w:tcMar>
            <w:vAlign w:val="center"/>
          </w:tcPr>
          <w:p>
            <w:pPr>
              <w:spacing w:after="40" w:line="252" w:lineRule="auto"/>
            </w:pPr>
            <w:r>
              <w:rPr>
                <w:sz w:val="19"/>
              </w:rPr>
              <w:t>G3 — Begin Receiving Batteries</w:t>
            </w:r>
          </w:p>
        </w:tc>
        <w:tc>
          <w:tcPr>
            <w:tcW w:type="dxa" w:w="7360"/>
            <w:tcMar>
              <w:top w:w="80" w:type="dxa"/>
              <w:start w:w="120" w:type="dxa"/>
              <w:bottom w:w="80" w:type="dxa"/>
              <w:end w:w="120" w:type="dxa"/>
            </w:tcMar>
            <w:vAlign w:val="center"/>
          </w:tcPr>
          <w:p>
            <w:pPr>
              <w:spacing w:after="40" w:line="252" w:lineRule="auto"/>
            </w:pPr>
            <w:r>
              <w:rPr>
                <w:sz w:val="19"/>
              </w:rPr>
              <w:t>SOPs, training, emergency plan, insurance, and equipment inspection complete</w:t>
            </w:r>
          </w:p>
        </w:tc>
      </w:tr>
      <w:tr>
        <w:trPr>
          <w:cantSplit/>
        </w:trPr>
        <w:tc>
          <w:tcPr>
            <w:tcW w:type="dxa" w:w="2000"/>
            <w:tcMar>
              <w:top w:w="80" w:type="dxa"/>
              <w:start w:w="120" w:type="dxa"/>
              <w:bottom w:w="80" w:type="dxa"/>
              <w:end w:w="120" w:type="dxa"/>
            </w:tcMar>
            <w:vAlign w:val="center"/>
            <w:shd w:fill="F8FAFC"/>
          </w:tcPr>
          <w:p>
            <w:pPr>
              <w:spacing w:after="40" w:line="252" w:lineRule="auto"/>
            </w:pPr>
            <w:r>
              <w:rPr>
                <w:sz w:val="19"/>
              </w:rPr>
              <w:t>G4 — Expand Pilot</w:t>
            </w:r>
          </w:p>
        </w:tc>
        <w:tc>
          <w:tcPr>
            <w:tcW w:type="dxa" w:w="7360"/>
            <w:tcMar>
              <w:top w:w="80" w:type="dxa"/>
              <w:start w:w="120" w:type="dxa"/>
              <w:bottom w:w="80" w:type="dxa"/>
              <w:end w:w="120" w:type="dxa"/>
            </w:tcMar>
            <w:vAlign w:val="center"/>
            <w:shd w:fill="F8FAFC"/>
          </w:tcPr>
          <w:p>
            <w:pPr>
              <w:spacing w:after="40" w:line="252" w:lineRule="auto"/>
            </w:pPr>
            <w:r>
              <w:rPr>
                <w:sz w:val="19"/>
              </w:rPr>
              <w:t>Initial operations safety review, data quality, and partner performance satisfactory</w:t>
            </w:r>
          </w:p>
        </w:tc>
      </w:tr>
      <w:tr>
        <w:trPr>
          <w:cantSplit/>
        </w:trPr>
        <w:tc>
          <w:tcPr>
            <w:tcW w:type="dxa" w:w="2000"/>
            <w:tcMar>
              <w:top w:w="80" w:type="dxa"/>
              <w:start w:w="120" w:type="dxa"/>
              <w:bottom w:w="80" w:type="dxa"/>
              <w:end w:w="120" w:type="dxa"/>
            </w:tcMar>
            <w:vAlign w:val="center"/>
          </w:tcPr>
          <w:p>
            <w:pPr>
              <w:spacing w:after="40" w:line="252" w:lineRule="auto"/>
            </w:pPr>
            <w:r>
              <w:rPr>
                <w:sz w:val="19"/>
              </w:rPr>
              <w:t>G5 — Next Stage</w:t>
            </w:r>
          </w:p>
        </w:tc>
        <w:tc>
          <w:tcPr>
            <w:tcW w:type="dxa" w:w="7360"/>
            <w:tcMar>
              <w:top w:w="80" w:type="dxa"/>
              <w:start w:w="120" w:type="dxa"/>
              <w:bottom w:w="80" w:type="dxa"/>
              <w:end w:w="120" w:type="dxa"/>
            </w:tcMar>
            <w:vAlign w:val="center"/>
          </w:tcPr>
          <w:p>
            <w:pPr>
              <w:spacing w:after="40" w:line="252" w:lineRule="auto"/>
            </w:pPr>
            <w:r>
              <w:rPr>
                <w:sz w:val="19"/>
              </w:rPr>
              <w:t>Decision based on final evaluation, actual flow volumes, unit costs, and regulatory conditions</w:t>
            </w:r>
          </w:p>
        </w:tc>
      </w:tr>
    </w:tbl>
    <w:p>
      <w:pPr>
        <w:spacing w:after="20"/>
      </w:pPr>
    </w:p>
    <w:p>
      <w:pPr>
        <w:pStyle w:val="Heading1"/>
      </w:pPr>
      <w:r>
        <w:t>11. Expected Results and Indicators</w:t>
      </w:r>
    </w:p>
    <w:tbl>
      <w:tblPr>
        <w:tblStyle w:val="TableGrid"/>
        <w:tblW w:type="dxa" w:w="9360"/>
        <w:jc w:val="center"/>
        <w:tblLayout w:type="fixed"/>
        <w:tblLook w:firstColumn="1" w:firstRow="1" w:lastColumn="0" w:lastRow="0" w:noHBand="0" w:noVBand="1" w:val="04A0"/>
        <w:tblInd w:w="120" w:type="dxa"/>
      </w:tblPr>
      <w:tblGrid>
        <w:gridCol w:w="1650"/>
        <w:gridCol w:w="3000"/>
        <w:gridCol w:w="1900"/>
        <w:gridCol w:w="2810"/>
      </w:tblGrid>
      <w:tr>
        <w:trPr>
          <w:tblHeader w:val="true"/>
          <w:cantSplit/>
        </w:trPr>
        <w:tc>
          <w:tcPr>
            <w:tcW w:type="dxa" w:w="1650"/>
            <w:tcMar>
              <w:top w:w="80" w:type="dxa"/>
              <w:start w:w="120" w:type="dxa"/>
              <w:bottom w:w="80" w:type="dxa"/>
              <w:end w:w="120" w:type="dxa"/>
            </w:tcMar>
            <w:vAlign w:val="center"/>
            <w:shd w:fill="1F4D78"/>
          </w:tcPr>
          <w:p>
            <w:pPr>
              <w:spacing w:after="40" w:line="252" w:lineRule="auto"/>
            </w:pPr>
            <w:r>
              <w:rPr>
                <w:b/>
                <w:color w:val="FFFFFF"/>
                <w:sz w:val="19"/>
              </w:rPr>
              <w:t>Result</w:t>
            </w:r>
          </w:p>
        </w:tc>
        <w:tc>
          <w:tcPr>
            <w:tcW w:type="dxa" w:w="3000"/>
            <w:tcMar>
              <w:top w:w="80" w:type="dxa"/>
              <w:start w:w="120" w:type="dxa"/>
              <w:bottom w:w="80" w:type="dxa"/>
              <w:end w:w="120" w:type="dxa"/>
            </w:tcMar>
            <w:vAlign w:val="center"/>
            <w:shd w:fill="1F4D78"/>
          </w:tcPr>
          <w:p>
            <w:pPr>
              <w:spacing w:after="40" w:line="252" w:lineRule="auto"/>
            </w:pPr>
            <w:r>
              <w:rPr>
                <w:b/>
                <w:color w:val="FFFFFF"/>
                <w:sz w:val="19"/>
              </w:rPr>
              <w:t>Indicator</w:t>
            </w:r>
          </w:p>
        </w:tc>
        <w:tc>
          <w:tcPr>
            <w:tcW w:type="dxa" w:w="1900"/>
            <w:tcMar>
              <w:top w:w="80" w:type="dxa"/>
              <w:start w:w="120" w:type="dxa"/>
              <w:bottom w:w="80" w:type="dxa"/>
              <w:end w:w="120" w:type="dxa"/>
            </w:tcMar>
            <w:vAlign w:val="center"/>
            <w:shd w:fill="1F4D78"/>
          </w:tcPr>
          <w:p>
            <w:pPr>
              <w:spacing w:after="40" w:line="252" w:lineRule="auto"/>
            </w:pPr>
            <w:r>
              <w:rPr>
                <w:b/>
                <w:color w:val="FFFFFF"/>
                <w:sz w:val="19"/>
              </w:rPr>
              <w:t>18-Month Target*</w:t>
            </w:r>
          </w:p>
        </w:tc>
        <w:tc>
          <w:tcPr>
            <w:tcW w:type="dxa" w:w="2810"/>
            <w:tcMar>
              <w:top w:w="80" w:type="dxa"/>
              <w:start w:w="120" w:type="dxa"/>
              <w:bottom w:w="80" w:type="dxa"/>
              <w:end w:w="120" w:type="dxa"/>
            </w:tcMar>
            <w:vAlign w:val="center"/>
            <w:shd w:fill="1F4D78"/>
          </w:tcPr>
          <w:p>
            <w:pPr>
              <w:spacing w:after="40" w:line="252" w:lineRule="auto"/>
            </w:pPr>
            <w:r>
              <w:rPr>
                <w:b/>
                <w:color w:val="FFFFFF"/>
                <w:sz w:val="19"/>
              </w:rPr>
              <w:t>Means of Verification</w:t>
            </w:r>
          </w:p>
        </w:tc>
      </w:tr>
      <w:tr>
        <w:trPr>
          <w:cantSplit/>
        </w:trPr>
        <w:tc>
          <w:tcPr>
            <w:tcW w:type="dxa" w:w="1650"/>
            <w:tcMar>
              <w:top w:w="80" w:type="dxa"/>
              <w:start w:w="120" w:type="dxa"/>
              <w:bottom w:w="80" w:type="dxa"/>
              <w:end w:w="120" w:type="dxa"/>
            </w:tcMar>
            <w:vAlign w:val="center"/>
          </w:tcPr>
          <w:p>
            <w:pPr>
              <w:spacing w:after="40" w:line="252" w:lineRule="auto"/>
            </w:pPr>
            <w:r>
              <w:rPr>
                <w:sz w:val="19"/>
              </w:rPr>
              <w:t>1. Center Capacity</w:t>
            </w:r>
          </w:p>
        </w:tc>
        <w:tc>
          <w:tcPr>
            <w:tcW w:type="dxa" w:w="3000"/>
            <w:tcMar>
              <w:top w:w="80" w:type="dxa"/>
              <w:start w:w="120" w:type="dxa"/>
              <w:bottom w:w="80" w:type="dxa"/>
              <w:end w:w="120" w:type="dxa"/>
            </w:tcMar>
            <w:vAlign w:val="center"/>
          </w:tcPr>
          <w:p>
            <w:pPr>
              <w:spacing w:after="40" w:line="252" w:lineRule="auto"/>
            </w:pPr>
            <w:r>
              <w:rPr>
                <w:sz w:val="19"/>
              </w:rPr>
              <w:t>Operational, inspected pilot center</w:t>
            </w:r>
          </w:p>
        </w:tc>
        <w:tc>
          <w:tcPr>
            <w:tcW w:type="dxa" w:w="1900"/>
            <w:tcMar>
              <w:top w:w="80" w:type="dxa"/>
              <w:start w:w="120" w:type="dxa"/>
              <w:bottom w:w="80" w:type="dxa"/>
              <w:end w:w="120" w:type="dxa"/>
            </w:tcMar>
            <w:vAlign w:val="center"/>
          </w:tcPr>
          <w:p>
            <w:pPr>
              <w:spacing w:after="40" w:line="252" w:lineRule="auto"/>
            </w:pPr>
            <w:r>
              <w:rPr>
                <w:sz w:val="19"/>
              </w:rPr>
              <w:t>1 center</w:t>
            </w:r>
          </w:p>
        </w:tc>
        <w:tc>
          <w:tcPr>
            <w:tcW w:type="dxa" w:w="2810"/>
            <w:tcMar>
              <w:top w:w="80" w:type="dxa"/>
              <w:start w:w="120" w:type="dxa"/>
              <w:bottom w:w="80" w:type="dxa"/>
              <w:end w:w="120" w:type="dxa"/>
            </w:tcMar>
            <w:vAlign w:val="center"/>
          </w:tcPr>
          <w:p>
            <w:pPr>
              <w:spacing w:after="40" w:line="252" w:lineRule="auto"/>
            </w:pPr>
            <w:r>
              <w:rPr>
                <w:sz w:val="19"/>
              </w:rPr>
              <w:t>Handover certificate, inspection</w:t>
            </w:r>
          </w:p>
        </w:tc>
      </w:tr>
      <w:tr>
        <w:trPr>
          <w:cantSplit/>
        </w:trPr>
        <w:tc>
          <w:tcPr>
            <w:tcW w:type="dxa" w:w="1650"/>
            <w:tcMar>
              <w:top w:w="80" w:type="dxa"/>
              <w:start w:w="120" w:type="dxa"/>
              <w:bottom w:w="80" w:type="dxa"/>
              <w:end w:w="120" w:type="dxa"/>
            </w:tcMar>
            <w:vAlign w:val="center"/>
            <w:shd w:fill="F8FAFC"/>
          </w:tcPr>
          <w:p>
            <w:pPr>
              <w:spacing w:after="40" w:line="252" w:lineRule="auto"/>
            </w:pPr>
            <w:r>
              <w:rPr>
                <w:sz w:val="19"/>
              </w:rPr>
              <w:t>2. Safety</w:t>
            </w:r>
          </w:p>
        </w:tc>
        <w:tc>
          <w:tcPr>
            <w:tcW w:type="dxa" w:w="3000"/>
            <w:tcMar>
              <w:top w:w="80" w:type="dxa"/>
              <w:start w:w="120" w:type="dxa"/>
              <w:bottom w:w="80" w:type="dxa"/>
              <w:end w:w="120" w:type="dxa"/>
            </w:tcMar>
            <w:vAlign w:val="center"/>
            <w:shd w:fill="F8FAFC"/>
          </w:tcPr>
          <w:p>
            <w:pPr>
              <w:spacing w:after="40" w:line="252" w:lineRule="auto"/>
            </w:pPr>
            <w:r>
              <w:rPr>
                <w:sz w:val="19"/>
              </w:rPr>
              <w:t>Approved SOPs</w:t>
            </w:r>
          </w:p>
        </w:tc>
        <w:tc>
          <w:tcPr>
            <w:tcW w:type="dxa" w:w="1900"/>
            <w:tcMar>
              <w:top w:w="80" w:type="dxa"/>
              <w:start w:w="120" w:type="dxa"/>
              <w:bottom w:w="80" w:type="dxa"/>
              <w:end w:w="120" w:type="dxa"/>
            </w:tcMar>
            <w:vAlign w:val="center"/>
            <w:shd w:fill="F8FAFC"/>
          </w:tcPr>
          <w:p>
            <w:pPr>
              <w:spacing w:after="40" w:line="252" w:lineRule="auto"/>
            </w:pPr>
            <w:r>
              <w:rPr>
                <w:sz w:val="19"/>
              </w:rPr>
              <w:t>At least 10</w:t>
            </w:r>
          </w:p>
        </w:tc>
        <w:tc>
          <w:tcPr>
            <w:tcW w:type="dxa" w:w="2810"/>
            <w:tcMar>
              <w:top w:w="80" w:type="dxa"/>
              <w:start w:w="120" w:type="dxa"/>
              <w:bottom w:w="80" w:type="dxa"/>
              <w:end w:w="120" w:type="dxa"/>
            </w:tcMar>
            <w:vAlign w:val="center"/>
            <w:shd w:fill="F8FAFC"/>
          </w:tcPr>
          <w:p>
            <w:pPr>
              <w:spacing w:after="40" w:line="252" w:lineRule="auto"/>
            </w:pPr>
            <w:r>
              <w:rPr>
                <w:sz w:val="19"/>
              </w:rPr>
              <w:t>SOP register</w:t>
            </w:r>
          </w:p>
        </w:tc>
      </w:tr>
      <w:tr>
        <w:trPr>
          <w:cantSplit/>
        </w:trPr>
        <w:tc>
          <w:tcPr>
            <w:tcW w:type="dxa" w:w="1650"/>
            <w:tcMar>
              <w:top w:w="80" w:type="dxa"/>
              <w:start w:w="120" w:type="dxa"/>
              <w:bottom w:w="80" w:type="dxa"/>
              <w:end w:w="120" w:type="dxa"/>
            </w:tcMar>
            <w:vAlign w:val="center"/>
          </w:tcPr>
          <w:p>
            <w:pPr>
              <w:spacing w:after="40" w:line="252" w:lineRule="auto"/>
            </w:pPr>
            <w:r>
              <w:rPr>
                <w:sz w:val="19"/>
              </w:rPr>
              <w:t>3. Human Resources</w:t>
            </w:r>
          </w:p>
        </w:tc>
        <w:tc>
          <w:tcPr>
            <w:tcW w:type="dxa" w:w="3000"/>
            <w:tcMar>
              <w:top w:w="80" w:type="dxa"/>
              <w:start w:w="120" w:type="dxa"/>
              <w:bottom w:w="80" w:type="dxa"/>
              <w:end w:w="120" w:type="dxa"/>
            </w:tcMar>
            <w:vAlign w:val="center"/>
          </w:tcPr>
          <w:p>
            <w:pPr>
              <w:spacing w:after="40" w:line="252" w:lineRule="auto"/>
            </w:pPr>
            <w:r>
              <w:rPr>
                <w:sz w:val="19"/>
              </w:rPr>
              <w:t>People trained and having passed assessment</w:t>
            </w:r>
          </w:p>
        </w:tc>
        <w:tc>
          <w:tcPr>
            <w:tcW w:type="dxa" w:w="1900"/>
            <w:tcMar>
              <w:top w:w="80" w:type="dxa"/>
              <w:start w:w="120" w:type="dxa"/>
              <w:bottom w:w="80" w:type="dxa"/>
              <w:end w:w="120" w:type="dxa"/>
            </w:tcMar>
            <w:vAlign w:val="center"/>
          </w:tcPr>
          <w:p>
            <w:pPr>
              <w:spacing w:after="40" w:line="252" w:lineRule="auto"/>
            </w:pPr>
            <w:r>
              <w:rPr>
                <w:sz w:val="19"/>
              </w:rPr>
              <w:t>≥20</w:t>
            </w:r>
          </w:p>
        </w:tc>
        <w:tc>
          <w:tcPr>
            <w:tcW w:type="dxa" w:w="2810"/>
            <w:tcMar>
              <w:top w:w="80" w:type="dxa"/>
              <w:start w:w="120" w:type="dxa"/>
              <w:bottom w:w="80" w:type="dxa"/>
              <w:end w:w="120" w:type="dxa"/>
            </w:tcMar>
            <w:vAlign w:val="center"/>
          </w:tcPr>
          <w:p>
            <w:pPr>
              <w:spacing w:after="40" w:line="252" w:lineRule="auto"/>
            </w:pPr>
            <w:r>
              <w:rPr>
                <w:sz w:val="19"/>
              </w:rPr>
              <w:t>Attendance, assessment records</w:t>
            </w:r>
          </w:p>
        </w:tc>
      </w:tr>
      <w:tr>
        <w:trPr>
          <w:cantSplit/>
        </w:trPr>
        <w:tc>
          <w:tcPr>
            <w:tcW w:type="dxa" w:w="1650"/>
            <w:tcMar>
              <w:top w:w="80" w:type="dxa"/>
              <w:start w:w="120" w:type="dxa"/>
              <w:bottom w:w="80" w:type="dxa"/>
              <w:end w:w="120" w:type="dxa"/>
            </w:tcMar>
            <w:vAlign w:val="center"/>
            <w:shd w:fill="F8FAFC"/>
          </w:tcPr>
          <w:p>
            <w:pPr>
              <w:spacing w:after="40" w:line="252" w:lineRule="auto"/>
            </w:pPr>
            <w:r>
              <w:rPr>
                <w:sz w:val="19"/>
              </w:rPr>
              <w:t>4. Collection Channel</w:t>
            </w:r>
          </w:p>
        </w:tc>
        <w:tc>
          <w:tcPr>
            <w:tcW w:type="dxa" w:w="3000"/>
            <w:tcMar>
              <w:top w:w="80" w:type="dxa"/>
              <w:start w:w="120" w:type="dxa"/>
              <w:bottom w:w="80" w:type="dxa"/>
              <w:end w:w="120" w:type="dxa"/>
            </w:tcMar>
            <w:vAlign w:val="center"/>
            <w:shd w:fill="F8FAFC"/>
          </w:tcPr>
          <w:p>
            <w:pPr>
              <w:spacing w:after="40" w:line="252" w:lineRule="auto"/>
            </w:pPr>
            <w:r>
              <w:rPr>
                <w:sz w:val="19"/>
              </w:rPr>
              <w:t>Active partner points</w:t>
            </w:r>
          </w:p>
        </w:tc>
        <w:tc>
          <w:tcPr>
            <w:tcW w:type="dxa" w:w="1900"/>
            <w:tcMar>
              <w:top w:w="80" w:type="dxa"/>
              <w:start w:w="120" w:type="dxa"/>
              <w:bottom w:w="80" w:type="dxa"/>
              <w:end w:w="120" w:type="dxa"/>
            </w:tcMar>
            <w:vAlign w:val="center"/>
            <w:shd w:fill="F8FAFC"/>
          </w:tcPr>
          <w:p>
            <w:pPr>
              <w:spacing w:after="40" w:line="252" w:lineRule="auto"/>
            </w:pPr>
            <w:r>
              <w:rPr>
                <w:sz w:val="19"/>
              </w:rPr>
              <w:t>3–5</w:t>
            </w:r>
          </w:p>
        </w:tc>
        <w:tc>
          <w:tcPr>
            <w:tcW w:type="dxa" w:w="2810"/>
            <w:tcMar>
              <w:top w:w="80" w:type="dxa"/>
              <w:start w:w="120" w:type="dxa"/>
              <w:bottom w:w="80" w:type="dxa"/>
              <w:end w:w="120" w:type="dxa"/>
            </w:tcMar>
            <w:vAlign w:val="center"/>
            <w:shd w:fill="F8FAFC"/>
          </w:tcPr>
          <w:p>
            <w:pPr>
              <w:spacing w:after="40" w:line="252" w:lineRule="auto"/>
            </w:pPr>
            <w:r>
              <w:rPr>
                <w:sz w:val="19"/>
              </w:rPr>
              <w:t>Contracts, transfer records</w:t>
            </w:r>
          </w:p>
        </w:tc>
      </w:tr>
      <w:tr>
        <w:trPr>
          <w:cantSplit/>
        </w:trPr>
        <w:tc>
          <w:tcPr>
            <w:tcW w:type="dxa" w:w="1650"/>
            <w:tcMar>
              <w:top w:w="80" w:type="dxa"/>
              <w:start w:w="120" w:type="dxa"/>
              <w:bottom w:w="80" w:type="dxa"/>
              <w:end w:w="120" w:type="dxa"/>
            </w:tcMar>
            <w:vAlign w:val="center"/>
          </w:tcPr>
          <w:p>
            <w:pPr>
              <w:spacing w:after="40" w:line="252" w:lineRule="auto"/>
            </w:pPr>
            <w:r>
              <w:rPr>
                <w:sz w:val="19"/>
              </w:rPr>
              <w:t>5. Traceability</w:t>
            </w:r>
          </w:p>
        </w:tc>
        <w:tc>
          <w:tcPr>
            <w:tcW w:type="dxa" w:w="3000"/>
            <w:tcMar>
              <w:top w:w="80" w:type="dxa"/>
              <w:start w:w="120" w:type="dxa"/>
              <w:bottom w:w="80" w:type="dxa"/>
              <w:end w:w="120" w:type="dxa"/>
            </w:tcMar>
            <w:vAlign w:val="center"/>
          </w:tcPr>
          <w:p>
            <w:pPr>
              <w:spacing w:after="40" w:line="252" w:lineRule="auto"/>
            </w:pPr>
            <w:r>
              <w:rPr>
                <w:sz w:val="19"/>
              </w:rPr>
              <w:t>Share of intake with unique ID</w:t>
            </w:r>
          </w:p>
        </w:tc>
        <w:tc>
          <w:tcPr>
            <w:tcW w:type="dxa" w:w="1900"/>
            <w:tcMar>
              <w:top w:w="80" w:type="dxa"/>
              <w:start w:w="120" w:type="dxa"/>
              <w:bottom w:w="80" w:type="dxa"/>
              <w:end w:w="120" w:type="dxa"/>
            </w:tcMar>
            <w:vAlign w:val="center"/>
          </w:tcPr>
          <w:p>
            <w:pPr>
              <w:spacing w:after="40" w:line="252" w:lineRule="auto"/>
            </w:pPr>
            <w:r>
              <w:rPr>
                <w:sz w:val="19"/>
              </w:rPr>
              <w:t>100%</w:t>
            </w:r>
          </w:p>
        </w:tc>
        <w:tc>
          <w:tcPr>
            <w:tcW w:type="dxa" w:w="2810"/>
            <w:tcMar>
              <w:top w:w="80" w:type="dxa"/>
              <w:start w:w="120" w:type="dxa"/>
              <w:bottom w:w="80" w:type="dxa"/>
              <w:end w:w="120" w:type="dxa"/>
            </w:tcMar>
            <w:vAlign w:val="center"/>
          </w:tcPr>
          <w:p>
            <w:pPr>
              <w:spacing w:after="40" w:line="252" w:lineRule="auto"/>
            </w:pPr>
            <w:r>
              <w:rPr>
                <w:sz w:val="19"/>
              </w:rPr>
              <w:t>Database</w:t>
            </w:r>
          </w:p>
        </w:tc>
      </w:tr>
      <w:tr>
        <w:trPr>
          <w:cantSplit/>
        </w:trPr>
        <w:tc>
          <w:tcPr>
            <w:tcW w:type="dxa" w:w="1650"/>
            <w:tcMar>
              <w:top w:w="80" w:type="dxa"/>
              <w:start w:w="120" w:type="dxa"/>
              <w:bottom w:w="80" w:type="dxa"/>
              <w:end w:w="120" w:type="dxa"/>
            </w:tcMar>
            <w:vAlign w:val="center"/>
            <w:shd w:fill="F8FAFC"/>
          </w:tcPr>
          <w:p>
            <w:pPr>
              <w:spacing w:after="40" w:line="252" w:lineRule="auto"/>
            </w:pPr>
            <w:r>
              <w:rPr>
                <w:sz w:val="19"/>
              </w:rPr>
              <w:t>6. Diagnostics</w:t>
            </w:r>
          </w:p>
        </w:tc>
        <w:tc>
          <w:tcPr>
            <w:tcW w:type="dxa" w:w="3000"/>
            <w:tcMar>
              <w:top w:w="80" w:type="dxa"/>
              <w:start w:w="120" w:type="dxa"/>
              <w:bottom w:w="80" w:type="dxa"/>
              <w:end w:w="120" w:type="dxa"/>
            </w:tcMar>
            <w:vAlign w:val="center"/>
            <w:shd w:fill="F8FAFC"/>
          </w:tcPr>
          <w:p>
            <w:pPr>
              <w:spacing w:after="40" w:line="252" w:lineRule="auto"/>
            </w:pPr>
            <w:r>
              <w:rPr>
                <w:sz w:val="19"/>
              </w:rPr>
              <w:t>Share of intake assessed per protocol</w:t>
            </w:r>
          </w:p>
        </w:tc>
        <w:tc>
          <w:tcPr>
            <w:tcW w:type="dxa" w:w="1900"/>
            <w:tcMar>
              <w:top w:w="80" w:type="dxa"/>
              <w:start w:w="120" w:type="dxa"/>
              <w:bottom w:w="80" w:type="dxa"/>
              <w:end w:w="120" w:type="dxa"/>
            </w:tcMar>
            <w:vAlign w:val="center"/>
            <w:shd w:fill="F8FAFC"/>
          </w:tcPr>
          <w:p>
            <w:pPr>
              <w:spacing w:after="40" w:line="252" w:lineRule="auto"/>
            </w:pPr>
            <w:r>
              <w:rPr>
                <w:sz w:val="19"/>
              </w:rPr>
              <w:t>≥90%**</w:t>
            </w:r>
          </w:p>
        </w:tc>
        <w:tc>
          <w:tcPr>
            <w:tcW w:type="dxa" w:w="2810"/>
            <w:tcMar>
              <w:top w:w="80" w:type="dxa"/>
              <w:start w:w="120" w:type="dxa"/>
              <w:bottom w:w="80" w:type="dxa"/>
              <w:end w:w="120" w:type="dxa"/>
            </w:tcMar>
            <w:vAlign w:val="center"/>
            <w:shd w:fill="F8FAFC"/>
          </w:tcPr>
          <w:p>
            <w:pPr>
              <w:spacing w:after="40" w:line="252" w:lineRule="auto"/>
            </w:pPr>
            <w:r>
              <w:rPr>
                <w:sz w:val="19"/>
              </w:rPr>
              <w:t>Test records</w:t>
            </w:r>
          </w:p>
        </w:tc>
      </w:tr>
      <w:tr>
        <w:trPr>
          <w:cantSplit/>
        </w:trPr>
        <w:tc>
          <w:tcPr>
            <w:tcW w:type="dxa" w:w="1650"/>
            <w:tcMar>
              <w:top w:w="80" w:type="dxa"/>
              <w:start w:w="120" w:type="dxa"/>
              <w:bottom w:w="80" w:type="dxa"/>
              <w:end w:w="120" w:type="dxa"/>
            </w:tcMar>
            <w:vAlign w:val="center"/>
          </w:tcPr>
          <w:p>
            <w:pPr>
              <w:spacing w:after="40" w:line="252" w:lineRule="auto"/>
            </w:pPr>
            <w:r>
              <w:rPr>
                <w:sz w:val="19"/>
              </w:rPr>
              <w:t>7. Safety</w:t>
            </w:r>
          </w:p>
        </w:tc>
        <w:tc>
          <w:tcPr>
            <w:tcW w:type="dxa" w:w="3000"/>
            <w:tcMar>
              <w:top w:w="80" w:type="dxa"/>
              <w:start w:w="120" w:type="dxa"/>
              <w:bottom w:w="80" w:type="dxa"/>
              <w:end w:w="120" w:type="dxa"/>
            </w:tcMar>
            <w:vAlign w:val="center"/>
          </w:tcPr>
          <w:p>
            <w:pPr>
              <w:spacing w:after="40" w:line="252" w:lineRule="auto"/>
            </w:pPr>
            <w:r>
              <w:rPr>
                <w:sz w:val="19"/>
              </w:rPr>
              <w:t>Serious injury/uncontrolled incidents</w:t>
            </w:r>
          </w:p>
        </w:tc>
        <w:tc>
          <w:tcPr>
            <w:tcW w:type="dxa" w:w="1900"/>
            <w:tcMar>
              <w:top w:w="80" w:type="dxa"/>
              <w:start w:w="120" w:type="dxa"/>
              <w:bottom w:w="80" w:type="dxa"/>
              <w:end w:w="120" w:type="dxa"/>
            </w:tcMar>
            <w:vAlign w:val="center"/>
          </w:tcPr>
          <w:p>
            <w:pPr>
              <w:spacing w:after="40" w:line="252" w:lineRule="auto"/>
            </w:pPr>
            <w:r>
              <w:rPr>
                <w:sz w:val="19"/>
              </w:rPr>
              <w:t>0</w:t>
            </w:r>
          </w:p>
        </w:tc>
        <w:tc>
          <w:tcPr>
            <w:tcW w:type="dxa" w:w="2810"/>
            <w:tcMar>
              <w:top w:w="80" w:type="dxa"/>
              <w:start w:w="120" w:type="dxa"/>
              <w:bottom w:w="80" w:type="dxa"/>
              <w:end w:w="120" w:type="dxa"/>
            </w:tcMar>
            <w:vAlign w:val="center"/>
          </w:tcPr>
          <w:p>
            <w:pPr>
              <w:spacing w:after="40" w:line="252" w:lineRule="auto"/>
            </w:pPr>
            <w:r>
              <w:rPr>
                <w:sz w:val="19"/>
              </w:rPr>
              <w:t>Incident log</w:t>
            </w:r>
          </w:p>
        </w:tc>
      </w:tr>
      <w:tr>
        <w:trPr>
          <w:cantSplit/>
        </w:trPr>
        <w:tc>
          <w:tcPr>
            <w:tcW w:type="dxa" w:w="1650"/>
            <w:tcMar>
              <w:top w:w="80" w:type="dxa"/>
              <w:start w:w="120" w:type="dxa"/>
              <w:bottom w:w="80" w:type="dxa"/>
              <w:end w:w="120" w:type="dxa"/>
            </w:tcMar>
            <w:vAlign w:val="center"/>
            <w:shd w:fill="F8FAFC"/>
          </w:tcPr>
          <w:p>
            <w:pPr>
              <w:spacing w:after="40" w:line="252" w:lineRule="auto"/>
            </w:pPr>
            <w:r>
              <w:rPr>
                <w:sz w:val="19"/>
              </w:rPr>
              <w:t>8. Policy Deliverables</w:t>
            </w:r>
          </w:p>
        </w:tc>
        <w:tc>
          <w:tcPr>
            <w:tcW w:type="dxa" w:w="3000"/>
            <w:tcMar>
              <w:top w:w="80" w:type="dxa"/>
              <w:start w:w="120" w:type="dxa"/>
              <w:bottom w:w="80" w:type="dxa"/>
              <w:end w:w="120" w:type="dxa"/>
            </w:tcMar>
            <w:vAlign w:val="center"/>
            <w:shd w:fill="F8FAFC"/>
          </w:tcPr>
          <w:p>
            <w:pPr>
              <w:spacing w:after="40" w:line="252" w:lineRule="auto"/>
            </w:pPr>
            <w:r>
              <w:rPr>
                <w:sz w:val="19"/>
              </w:rPr>
              <w:t>Final recommendations and scale-up plan</w:t>
            </w:r>
          </w:p>
        </w:tc>
        <w:tc>
          <w:tcPr>
            <w:tcW w:type="dxa" w:w="1900"/>
            <w:tcMar>
              <w:top w:w="80" w:type="dxa"/>
              <w:start w:w="120" w:type="dxa"/>
              <w:bottom w:w="80" w:type="dxa"/>
              <w:end w:w="120" w:type="dxa"/>
            </w:tcMar>
            <w:vAlign w:val="center"/>
            <w:shd w:fill="F8FAFC"/>
          </w:tcPr>
          <w:p>
            <w:pPr>
              <w:spacing w:after="40" w:line="252" w:lineRule="auto"/>
            </w:pPr>
            <w:r>
              <w:rPr>
                <w:sz w:val="19"/>
              </w:rPr>
              <w:t>2 documents</w:t>
            </w:r>
          </w:p>
        </w:tc>
        <w:tc>
          <w:tcPr>
            <w:tcW w:type="dxa" w:w="2810"/>
            <w:tcMar>
              <w:top w:w="80" w:type="dxa"/>
              <w:start w:w="120" w:type="dxa"/>
              <w:bottom w:w="80" w:type="dxa"/>
              <w:end w:w="120" w:type="dxa"/>
            </w:tcMar>
            <w:vAlign w:val="center"/>
            <w:shd w:fill="F8FAFC"/>
          </w:tcPr>
          <w:p>
            <w:pPr>
              <w:spacing w:after="40" w:line="252" w:lineRule="auto"/>
            </w:pPr>
            <w:r>
              <w:rPr>
                <w:sz w:val="19"/>
              </w:rPr>
              <w:t>Report</w:t>
            </w:r>
          </w:p>
        </w:tc>
      </w:tr>
    </w:tbl>
    <w:p>
      <w:pPr>
        <w:spacing w:after="20"/>
      </w:pPr>
    </w:p>
    <w:p>
      <w:r>
        <w:t>* Targets to be confirmed after baseline research. ** Calculated for batteries that are receivable and within instrument scope.</w:t>
      </w:r>
    </w:p>
    <w:p>
      <w:pPr>
        <w:pStyle w:val="Heading2"/>
      </w:pPr>
      <w:r>
        <w:t>11.1 Monitoring and Evaluation</w:t>
      </w:r>
    </w:p>
    <w:p>
      <w:pPr>
        <w:pStyle w:val="ListBullet"/>
        <w:spacing w:after="80" w:line="290" w:lineRule="auto"/>
      </w:pPr>
      <w:r>
        <w:t>Baseline indicators will be established in Months 1–3 and targets approved by the Steering Committee.</w:t>
      </w:r>
    </w:p>
    <w:p>
      <w:pPr>
        <w:pStyle w:val="ListBullet"/>
        <w:spacing w:after="80" w:line="290" w:lineRule="auto"/>
      </w:pPr>
      <w:r>
        <w:t>Monthly operational reports and quarterly financial and KPI reports will be produced.</w:t>
      </w:r>
    </w:p>
    <w:p>
      <w:pPr>
        <w:pStyle w:val="ListBullet"/>
        <w:spacing w:after="80" w:line="290" w:lineRule="auto"/>
      </w:pPr>
      <w:r>
        <w:t>Data quality will be checked for duplicates, missing fields, and weight/count discrepancies.</w:t>
      </w:r>
    </w:p>
    <w:p>
      <w:pPr>
        <w:pStyle w:val="ListBullet"/>
        <w:spacing w:after="80" w:line="290" w:lineRule="auto"/>
      </w:pPr>
      <w:r>
        <w:t>A mid-term internal evaluation will be conducted in Months 9–10, and an external/joint final evaluation in Months 17–18.</w:t>
      </w:r>
    </w:p>
    <w:p>
      <w:pPr>
        <w:pStyle w:val="ListBullet"/>
        <w:spacing w:after="80" w:line="290" w:lineRule="auto"/>
      </w:pPr>
      <w:r>
        <w:t>Personal data such as gender, age, and disability status will be used only where necessary and authorized, and will be separately safeguarded.</w:t>
      </w:r>
    </w:p>
    <w:p>
      <w:pPr>
        <w:pStyle w:val="Heading1"/>
      </w:pPr>
      <w:r>
        <w:t>12. Budget Structure and Financing</w:t>
      </w:r>
    </w:p>
    <w:p>
      <w:r>
        <w:t>Final figures will be determined by site, design, permitting requirements, battery voltage/chemistry, equipment technical specifications, and supplier quotes. The table below is the basic framework for developing the budget together with donors, partners, and investors.</w:t>
      </w:r>
    </w:p>
    <w:tbl>
      <w:tblPr>
        <w:tblStyle w:val="TableGrid"/>
        <w:tblW w:type="dxa" w:w="9360"/>
        <w:jc w:val="center"/>
        <w:tblLayout w:type="fixed"/>
        <w:tblLook w:firstColumn="1" w:firstRow="1" w:lastColumn="0" w:lastRow="0" w:noHBand="0" w:noVBand="1" w:val="04A0"/>
        <w:tblInd w:w="120" w:type="dxa"/>
      </w:tblPr>
      <w:tblGrid>
        <w:gridCol w:w="500"/>
        <w:gridCol w:w="2700"/>
        <w:gridCol w:w="3960"/>
        <w:gridCol w:w="2200"/>
      </w:tblGrid>
      <w:tr>
        <w:trPr>
          <w:tblHeader w:val="true"/>
          <w:cantSplit/>
        </w:trPr>
        <w:tc>
          <w:tcPr>
            <w:tcW w:type="dxa" w:w="500"/>
            <w:tcMar>
              <w:top w:w="80" w:type="dxa"/>
              <w:start w:w="120" w:type="dxa"/>
              <w:bottom w:w="80" w:type="dxa"/>
              <w:end w:w="120" w:type="dxa"/>
            </w:tcMar>
            <w:vAlign w:val="center"/>
            <w:shd w:fill="1F4D78"/>
          </w:tcPr>
          <w:p>
            <w:pPr>
              <w:spacing w:after="40" w:line="252" w:lineRule="auto"/>
            </w:pPr>
            <w:r>
              <w:rPr>
                <w:b/>
                <w:color w:val="FFFFFF"/>
                <w:sz w:val="19"/>
              </w:rPr>
              <w:t>No.</w:t>
            </w:r>
          </w:p>
        </w:tc>
        <w:tc>
          <w:tcPr>
            <w:tcW w:type="dxa" w:w="2700"/>
            <w:tcMar>
              <w:top w:w="80" w:type="dxa"/>
              <w:start w:w="120" w:type="dxa"/>
              <w:bottom w:w="80" w:type="dxa"/>
              <w:end w:w="120" w:type="dxa"/>
            </w:tcMar>
            <w:vAlign w:val="center"/>
            <w:shd w:fill="1F4D78"/>
          </w:tcPr>
          <w:p>
            <w:pPr>
              <w:spacing w:after="40" w:line="252" w:lineRule="auto"/>
            </w:pPr>
            <w:r>
              <w:rPr>
                <w:b/>
                <w:color w:val="FFFFFF"/>
                <w:sz w:val="19"/>
              </w:rPr>
              <w:t>Budget Category</w:t>
            </w:r>
          </w:p>
        </w:tc>
        <w:tc>
          <w:tcPr>
            <w:tcW w:type="dxa" w:w="3960"/>
            <w:tcMar>
              <w:top w:w="80" w:type="dxa"/>
              <w:start w:w="120" w:type="dxa"/>
              <w:bottom w:w="80" w:type="dxa"/>
              <w:end w:w="120" w:type="dxa"/>
            </w:tcMar>
            <w:vAlign w:val="center"/>
            <w:shd w:fill="1F4D78"/>
          </w:tcPr>
          <w:p>
            <w:pPr>
              <w:spacing w:after="40" w:line="252" w:lineRule="auto"/>
            </w:pPr>
            <w:r>
              <w:rPr>
                <w:b/>
                <w:color w:val="FFFFFF"/>
                <w:sz w:val="19"/>
              </w:rPr>
              <w:t>Basis of Estimate</w:t>
            </w:r>
          </w:p>
        </w:tc>
        <w:tc>
          <w:tcPr>
            <w:tcW w:type="dxa" w:w="2200"/>
            <w:tcMar>
              <w:top w:w="80" w:type="dxa"/>
              <w:start w:w="120" w:type="dxa"/>
              <w:bottom w:w="80" w:type="dxa"/>
              <w:end w:w="120" w:type="dxa"/>
            </w:tcMar>
            <w:vAlign w:val="center"/>
            <w:shd w:fill="1F4D78"/>
          </w:tcPr>
          <w:p>
            <w:pPr>
              <w:spacing w:after="40" w:line="252" w:lineRule="auto"/>
            </w:pPr>
            <w:r>
              <w:rPr>
                <w:b/>
                <w:color w:val="FFFFFF"/>
                <w:sz w:val="19"/>
              </w:rPr>
              <w:t>Amount (MNT)</w:t>
            </w:r>
          </w:p>
        </w:tc>
      </w:tr>
      <w:tr>
        <w:trPr>
          <w:cantSplit/>
        </w:trPr>
        <w:tc>
          <w:tcPr>
            <w:tcW w:type="dxa" w:w="500"/>
            <w:tcMar>
              <w:top w:w="80" w:type="dxa"/>
              <w:start w:w="120" w:type="dxa"/>
              <w:bottom w:w="80" w:type="dxa"/>
              <w:end w:w="120" w:type="dxa"/>
            </w:tcMar>
            <w:vAlign w:val="center"/>
          </w:tcPr>
          <w:p>
            <w:pPr>
              <w:spacing w:after="40" w:line="252" w:lineRule="auto"/>
            </w:pPr>
            <w:r>
              <w:rPr>
                <w:sz w:val="19"/>
              </w:rPr>
              <w:t>1</w:t>
            </w:r>
          </w:p>
        </w:tc>
        <w:tc>
          <w:tcPr>
            <w:tcW w:type="dxa" w:w="2700"/>
            <w:tcMar>
              <w:top w:w="80" w:type="dxa"/>
              <w:start w:w="120" w:type="dxa"/>
              <w:bottom w:w="80" w:type="dxa"/>
              <w:end w:w="120" w:type="dxa"/>
            </w:tcMar>
            <w:vAlign w:val="center"/>
          </w:tcPr>
          <w:p>
            <w:pPr>
              <w:spacing w:after="40" w:line="252" w:lineRule="auto"/>
            </w:pPr>
            <w:r>
              <w:rPr>
                <w:sz w:val="19"/>
              </w:rPr>
              <w:t>Baseline research, detailed technical-economic assessment</w:t>
            </w:r>
          </w:p>
        </w:tc>
        <w:tc>
          <w:tcPr>
            <w:tcW w:type="dxa" w:w="3960"/>
            <w:tcMar>
              <w:top w:w="80" w:type="dxa"/>
              <w:start w:w="120" w:type="dxa"/>
              <w:bottom w:w="80" w:type="dxa"/>
              <w:end w:w="120" w:type="dxa"/>
            </w:tcMar>
            <w:vAlign w:val="center"/>
          </w:tcPr>
          <w:p>
            <w:pPr>
              <w:spacing w:after="40" w:line="252" w:lineRule="auto"/>
            </w:pPr>
            <w:r>
              <w:rPr>
                <w:sz w:val="19"/>
              </w:rPr>
              <w:t>Person-months, travel, data</w:t>
            </w:r>
          </w:p>
        </w:tc>
        <w:tc>
          <w:tcPr>
            <w:tcW w:type="dxa" w:w="2200"/>
            <w:tcMar>
              <w:top w:w="80" w:type="dxa"/>
              <w:start w:w="120" w:type="dxa"/>
              <w:bottom w:w="80" w:type="dxa"/>
              <w:end w:w="120" w:type="dxa"/>
            </w:tcMar>
            <w:vAlign w:val="center"/>
          </w:tcPr>
          <w:p>
            <w:pPr>
              <w:spacing w:after="40" w:line="252" w:lineRule="auto"/>
            </w:pPr>
            <w:r>
              <w:rPr>
                <w:sz w:val="19"/>
              </w:rPr>
              <w:t>TBD</w:t>
            </w:r>
          </w:p>
        </w:tc>
      </w:tr>
      <w:tr>
        <w:trPr>
          <w:cantSplit/>
        </w:trPr>
        <w:tc>
          <w:tcPr>
            <w:tcW w:type="dxa" w:w="500"/>
            <w:tcMar>
              <w:top w:w="80" w:type="dxa"/>
              <w:start w:w="120" w:type="dxa"/>
              <w:bottom w:w="80" w:type="dxa"/>
              <w:end w:w="120" w:type="dxa"/>
            </w:tcMar>
            <w:vAlign w:val="center"/>
            <w:shd w:fill="F8FAFC"/>
          </w:tcPr>
          <w:p>
            <w:pPr>
              <w:spacing w:after="40" w:line="252" w:lineRule="auto"/>
            </w:pPr>
            <w:r>
              <w:rPr>
                <w:sz w:val="19"/>
              </w:rPr>
              <w:t>2</w:t>
            </w:r>
          </w:p>
        </w:tc>
        <w:tc>
          <w:tcPr>
            <w:tcW w:type="dxa" w:w="2700"/>
            <w:tcMar>
              <w:top w:w="80" w:type="dxa"/>
              <w:start w:w="120" w:type="dxa"/>
              <w:bottom w:w="80" w:type="dxa"/>
              <w:end w:w="120" w:type="dxa"/>
            </w:tcMar>
            <w:vAlign w:val="center"/>
            <w:shd w:fill="F8FAFC"/>
          </w:tcPr>
          <w:p>
            <w:pPr>
              <w:spacing w:after="40" w:line="252" w:lineRule="auto"/>
            </w:pPr>
            <w:r>
              <w:rPr>
                <w:sz w:val="19"/>
              </w:rPr>
              <w:t>Design, permitting, legal/safety consulting</w:t>
            </w:r>
          </w:p>
        </w:tc>
        <w:tc>
          <w:tcPr>
            <w:tcW w:type="dxa" w:w="3960"/>
            <w:tcMar>
              <w:top w:w="80" w:type="dxa"/>
              <w:start w:w="120" w:type="dxa"/>
              <w:bottom w:w="80" w:type="dxa"/>
              <w:end w:w="120" w:type="dxa"/>
            </w:tcMar>
            <w:vAlign w:val="center"/>
            <w:shd w:fill="F8FAFC"/>
          </w:tcPr>
          <w:p>
            <w:pPr>
              <w:spacing w:after="40" w:line="252" w:lineRule="auto"/>
            </w:pPr>
            <w:r>
              <w:rPr>
                <w:sz w:val="19"/>
              </w:rPr>
              <w:t>Contracts, fees, certification</w:t>
            </w:r>
          </w:p>
        </w:tc>
        <w:tc>
          <w:tcPr>
            <w:tcW w:type="dxa" w:w="2200"/>
            <w:tcMar>
              <w:top w:w="80" w:type="dxa"/>
              <w:start w:w="120" w:type="dxa"/>
              <w:bottom w:w="80" w:type="dxa"/>
              <w:end w:w="120" w:type="dxa"/>
            </w:tcMar>
            <w:vAlign w:val="center"/>
            <w:shd w:fill="F8FAFC"/>
          </w:tcPr>
          <w:p>
            <w:pPr>
              <w:spacing w:after="40" w:line="252" w:lineRule="auto"/>
            </w:pPr>
            <w:r>
              <w:rPr>
                <w:sz w:val="19"/>
              </w:rPr>
              <w:t>TBD</w:t>
            </w:r>
          </w:p>
        </w:tc>
      </w:tr>
      <w:tr>
        <w:trPr>
          <w:cantSplit/>
        </w:trPr>
        <w:tc>
          <w:tcPr>
            <w:tcW w:type="dxa" w:w="500"/>
            <w:tcMar>
              <w:top w:w="80" w:type="dxa"/>
              <w:start w:w="120" w:type="dxa"/>
              <w:bottom w:w="80" w:type="dxa"/>
              <w:end w:w="120" w:type="dxa"/>
            </w:tcMar>
            <w:vAlign w:val="center"/>
          </w:tcPr>
          <w:p>
            <w:pPr>
              <w:spacing w:after="40" w:line="252" w:lineRule="auto"/>
            </w:pPr>
            <w:r>
              <w:rPr>
                <w:sz w:val="19"/>
              </w:rPr>
              <w:t>3</w:t>
            </w:r>
          </w:p>
        </w:tc>
        <w:tc>
          <w:tcPr>
            <w:tcW w:type="dxa" w:w="2700"/>
            <w:tcMar>
              <w:top w:w="80" w:type="dxa"/>
              <w:start w:w="120" w:type="dxa"/>
              <w:bottom w:w="80" w:type="dxa"/>
              <w:end w:w="120" w:type="dxa"/>
            </w:tcMar>
            <w:vAlign w:val="center"/>
          </w:tcPr>
          <w:p>
            <w:pPr>
              <w:spacing w:after="40" w:line="252" w:lineRule="auto"/>
            </w:pPr>
            <w:r>
              <w:rPr>
                <w:sz w:val="19"/>
              </w:rPr>
              <w:t>Facility, renovation, engineering infrastructure</w:t>
            </w:r>
          </w:p>
        </w:tc>
        <w:tc>
          <w:tcPr>
            <w:tcW w:type="dxa" w:w="3960"/>
            <w:tcMar>
              <w:top w:w="80" w:type="dxa"/>
              <w:start w:w="120" w:type="dxa"/>
              <w:bottom w:w="80" w:type="dxa"/>
              <w:end w:w="120" w:type="dxa"/>
            </w:tcMar>
            <w:vAlign w:val="center"/>
          </w:tcPr>
          <w:p>
            <w:pPr>
              <w:spacing w:after="40" w:line="252" w:lineRule="auto"/>
            </w:pPr>
            <w:r>
              <w:rPr>
                <w:sz w:val="19"/>
              </w:rPr>
              <w:t>m², lease/renovation, ventilation, electrical</w:t>
            </w:r>
          </w:p>
        </w:tc>
        <w:tc>
          <w:tcPr>
            <w:tcW w:type="dxa" w:w="2200"/>
            <w:tcMar>
              <w:top w:w="80" w:type="dxa"/>
              <w:start w:w="120" w:type="dxa"/>
              <w:bottom w:w="80" w:type="dxa"/>
              <w:end w:w="120" w:type="dxa"/>
            </w:tcMar>
            <w:vAlign w:val="center"/>
          </w:tcPr>
          <w:p>
            <w:pPr>
              <w:spacing w:after="40" w:line="252" w:lineRule="auto"/>
            </w:pPr>
            <w:r>
              <w:rPr>
                <w:sz w:val="19"/>
              </w:rPr>
              <w:t>TBD</w:t>
            </w:r>
          </w:p>
        </w:tc>
      </w:tr>
      <w:tr>
        <w:trPr>
          <w:cantSplit/>
        </w:trPr>
        <w:tc>
          <w:tcPr>
            <w:tcW w:type="dxa" w:w="500"/>
            <w:tcMar>
              <w:top w:w="80" w:type="dxa"/>
              <w:start w:w="120" w:type="dxa"/>
              <w:bottom w:w="80" w:type="dxa"/>
              <w:end w:w="120" w:type="dxa"/>
            </w:tcMar>
            <w:vAlign w:val="center"/>
            <w:shd w:fill="F8FAFC"/>
          </w:tcPr>
          <w:p>
            <w:pPr>
              <w:spacing w:after="40" w:line="252" w:lineRule="auto"/>
            </w:pPr>
            <w:r>
              <w:rPr>
                <w:sz w:val="19"/>
              </w:rPr>
              <w:t>4</w:t>
            </w:r>
          </w:p>
        </w:tc>
        <w:tc>
          <w:tcPr>
            <w:tcW w:type="dxa" w:w="2700"/>
            <w:tcMar>
              <w:top w:w="80" w:type="dxa"/>
              <w:start w:w="120" w:type="dxa"/>
              <w:bottom w:w="80" w:type="dxa"/>
              <w:end w:w="120" w:type="dxa"/>
            </w:tcMar>
            <w:vAlign w:val="center"/>
            <w:shd w:fill="F8FAFC"/>
          </w:tcPr>
          <w:p>
            <w:pPr>
              <w:spacing w:after="40" w:line="252" w:lineRule="auto"/>
            </w:pPr>
            <w:r>
              <w:rPr>
                <w:sz w:val="19"/>
              </w:rPr>
              <w:t>Safe storage, fire and monitoring systems</w:t>
            </w:r>
          </w:p>
        </w:tc>
        <w:tc>
          <w:tcPr>
            <w:tcW w:type="dxa" w:w="3960"/>
            <w:tcMar>
              <w:top w:w="80" w:type="dxa"/>
              <w:start w:w="120" w:type="dxa"/>
              <w:bottom w:w="80" w:type="dxa"/>
              <w:end w:w="120" w:type="dxa"/>
            </w:tcMar>
            <w:vAlign w:val="center"/>
            <w:shd w:fill="F8FAFC"/>
          </w:tcPr>
          <w:p>
            <w:pPr>
              <w:spacing w:after="40" w:line="252" w:lineRule="auto"/>
            </w:pPr>
            <w:r>
              <w:rPr>
                <w:sz w:val="19"/>
              </w:rPr>
              <w:t>Technical specification, 3 quotes</w:t>
            </w:r>
          </w:p>
        </w:tc>
        <w:tc>
          <w:tcPr>
            <w:tcW w:type="dxa" w:w="2200"/>
            <w:tcMar>
              <w:top w:w="80" w:type="dxa"/>
              <w:start w:w="120" w:type="dxa"/>
              <w:bottom w:w="80" w:type="dxa"/>
              <w:end w:w="120" w:type="dxa"/>
            </w:tcMar>
            <w:vAlign w:val="center"/>
            <w:shd w:fill="F8FAFC"/>
          </w:tcPr>
          <w:p>
            <w:pPr>
              <w:spacing w:after="40" w:line="252" w:lineRule="auto"/>
            </w:pPr>
            <w:r>
              <w:rPr>
                <w:sz w:val="19"/>
              </w:rPr>
              <w:t>TBD</w:t>
            </w:r>
          </w:p>
        </w:tc>
      </w:tr>
      <w:tr>
        <w:trPr>
          <w:cantSplit/>
        </w:trPr>
        <w:tc>
          <w:tcPr>
            <w:tcW w:type="dxa" w:w="500"/>
            <w:tcMar>
              <w:top w:w="80" w:type="dxa"/>
              <w:start w:w="120" w:type="dxa"/>
              <w:bottom w:w="80" w:type="dxa"/>
              <w:end w:w="120" w:type="dxa"/>
            </w:tcMar>
            <w:vAlign w:val="center"/>
          </w:tcPr>
          <w:p>
            <w:pPr>
              <w:spacing w:after="40" w:line="252" w:lineRule="auto"/>
            </w:pPr>
            <w:r>
              <w:rPr>
                <w:sz w:val="19"/>
              </w:rPr>
              <w:t>5</w:t>
            </w:r>
          </w:p>
        </w:tc>
        <w:tc>
          <w:tcPr>
            <w:tcW w:type="dxa" w:w="2700"/>
            <w:tcMar>
              <w:top w:w="80" w:type="dxa"/>
              <w:start w:w="120" w:type="dxa"/>
              <w:bottom w:w="80" w:type="dxa"/>
              <w:end w:w="120" w:type="dxa"/>
            </w:tcMar>
            <w:vAlign w:val="center"/>
          </w:tcPr>
          <w:p>
            <w:pPr>
              <w:spacing w:after="40" w:line="252" w:lineRule="auto"/>
            </w:pPr>
            <w:r>
              <w:rPr>
                <w:sz w:val="19"/>
              </w:rPr>
              <w:t>Diagnostic and measurement equipment</w:t>
            </w:r>
          </w:p>
        </w:tc>
        <w:tc>
          <w:tcPr>
            <w:tcW w:type="dxa" w:w="3960"/>
            <w:tcMar>
              <w:top w:w="80" w:type="dxa"/>
              <w:start w:w="120" w:type="dxa"/>
              <w:bottom w:w="80" w:type="dxa"/>
              <w:end w:w="120" w:type="dxa"/>
            </w:tcMar>
            <w:vAlign w:val="center"/>
          </w:tcPr>
          <w:p>
            <w:pPr>
              <w:spacing w:after="40" w:line="252" w:lineRule="auto"/>
            </w:pPr>
            <w:r>
              <w:rPr>
                <w:sz w:val="19"/>
              </w:rPr>
              <w:t>Technical specification, calibration</w:t>
            </w:r>
          </w:p>
        </w:tc>
        <w:tc>
          <w:tcPr>
            <w:tcW w:type="dxa" w:w="2200"/>
            <w:tcMar>
              <w:top w:w="80" w:type="dxa"/>
              <w:start w:w="120" w:type="dxa"/>
              <w:bottom w:w="80" w:type="dxa"/>
              <w:end w:w="120" w:type="dxa"/>
            </w:tcMar>
            <w:vAlign w:val="center"/>
          </w:tcPr>
          <w:p>
            <w:pPr>
              <w:spacing w:after="40" w:line="252" w:lineRule="auto"/>
            </w:pPr>
            <w:r>
              <w:rPr>
                <w:sz w:val="19"/>
              </w:rPr>
              <w:t>TBD</w:t>
            </w:r>
          </w:p>
        </w:tc>
      </w:tr>
      <w:tr>
        <w:trPr>
          <w:cantSplit/>
        </w:trPr>
        <w:tc>
          <w:tcPr>
            <w:tcW w:type="dxa" w:w="500"/>
            <w:tcMar>
              <w:top w:w="80" w:type="dxa"/>
              <w:start w:w="120" w:type="dxa"/>
              <w:bottom w:w="80" w:type="dxa"/>
              <w:end w:w="120" w:type="dxa"/>
            </w:tcMar>
            <w:vAlign w:val="center"/>
            <w:shd w:fill="F8FAFC"/>
          </w:tcPr>
          <w:p>
            <w:pPr>
              <w:spacing w:after="40" w:line="252" w:lineRule="auto"/>
            </w:pPr>
            <w:r>
              <w:rPr>
                <w:sz w:val="19"/>
              </w:rPr>
              <w:t>6</w:t>
            </w:r>
          </w:p>
        </w:tc>
        <w:tc>
          <w:tcPr>
            <w:tcW w:type="dxa" w:w="2700"/>
            <w:tcMar>
              <w:top w:w="80" w:type="dxa"/>
              <w:start w:w="120" w:type="dxa"/>
              <w:bottom w:w="80" w:type="dxa"/>
              <w:end w:w="120" w:type="dxa"/>
            </w:tcMar>
            <w:vAlign w:val="center"/>
            <w:shd w:fill="F8FAFC"/>
          </w:tcPr>
          <w:p>
            <w:pPr>
              <w:spacing w:after="40" w:line="252" w:lineRule="auto"/>
            </w:pPr>
            <w:r>
              <w:rPr>
                <w:sz w:val="19"/>
              </w:rPr>
              <w:t>IT, QR, database, cybersecurity</w:t>
            </w:r>
          </w:p>
        </w:tc>
        <w:tc>
          <w:tcPr>
            <w:tcW w:type="dxa" w:w="3960"/>
            <w:tcMar>
              <w:top w:w="80" w:type="dxa"/>
              <w:start w:w="120" w:type="dxa"/>
              <w:bottom w:w="80" w:type="dxa"/>
              <w:end w:w="120" w:type="dxa"/>
            </w:tcMar>
            <w:vAlign w:val="center"/>
            <w:shd w:fill="F8FAFC"/>
          </w:tcPr>
          <w:p>
            <w:pPr>
              <w:spacing w:after="40" w:line="252" w:lineRule="auto"/>
            </w:pPr>
            <w:r>
              <w:rPr>
                <w:sz w:val="19"/>
              </w:rPr>
              <w:t>Licensing, development, hardware</w:t>
            </w:r>
          </w:p>
        </w:tc>
        <w:tc>
          <w:tcPr>
            <w:tcW w:type="dxa" w:w="2200"/>
            <w:tcMar>
              <w:top w:w="80" w:type="dxa"/>
              <w:start w:w="120" w:type="dxa"/>
              <w:bottom w:w="80" w:type="dxa"/>
              <w:end w:w="120" w:type="dxa"/>
            </w:tcMar>
            <w:vAlign w:val="center"/>
            <w:shd w:fill="F8FAFC"/>
          </w:tcPr>
          <w:p>
            <w:pPr>
              <w:spacing w:after="40" w:line="252" w:lineRule="auto"/>
            </w:pPr>
            <w:r>
              <w:rPr>
                <w:sz w:val="19"/>
              </w:rPr>
              <w:t>TBD</w:t>
            </w:r>
          </w:p>
        </w:tc>
      </w:tr>
      <w:tr>
        <w:trPr>
          <w:cantSplit/>
        </w:trPr>
        <w:tc>
          <w:tcPr>
            <w:tcW w:type="dxa" w:w="500"/>
            <w:tcMar>
              <w:top w:w="80" w:type="dxa"/>
              <w:start w:w="120" w:type="dxa"/>
              <w:bottom w:w="80" w:type="dxa"/>
              <w:end w:w="120" w:type="dxa"/>
            </w:tcMar>
            <w:vAlign w:val="center"/>
          </w:tcPr>
          <w:p>
            <w:pPr>
              <w:spacing w:after="40" w:line="252" w:lineRule="auto"/>
            </w:pPr>
            <w:r>
              <w:rPr>
                <w:sz w:val="19"/>
              </w:rPr>
              <w:t>7</w:t>
            </w:r>
          </w:p>
        </w:tc>
        <w:tc>
          <w:tcPr>
            <w:tcW w:type="dxa" w:w="2700"/>
            <w:tcMar>
              <w:top w:w="80" w:type="dxa"/>
              <w:start w:w="120" w:type="dxa"/>
              <w:bottom w:w="80" w:type="dxa"/>
              <w:end w:w="120" w:type="dxa"/>
            </w:tcMar>
            <w:vAlign w:val="center"/>
          </w:tcPr>
          <w:p>
            <w:pPr>
              <w:spacing w:after="40" w:line="252" w:lineRule="auto"/>
            </w:pPr>
            <w:r>
              <w:rPr>
                <w:sz w:val="19"/>
              </w:rPr>
              <w:t>PPE, packaging, transport, consumables</w:t>
            </w:r>
          </w:p>
        </w:tc>
        <w:tc>
          <w:tcPr>
            <w:tcW w:type="dxa" w:w="3960"/>
            <w:tcMar>
              <w:top w:w="80" w:type="dxa"/>
              <w:start w:w="120" w:type="dxa"/>
              <w:bottom w:w="80" w:type="dxa"/>
              <w:end w:w="120" w:type="dxa"/>
            </w:tcMar>
            <w:vAlign w:val="center"/>
          </w:tcPr>
          <w:p>
            <w:pPr>
              <w:spacing w:after="40" w:line="252" w:lineRule="auto"/>
            </w:pPr>
            <w:r>
              <w:rPr>
                <w:sz w:val="19"/>
              </w:rPr>
              <w:t>Unit price × planned quantity</w:t>
            </w:r>
          </w:p>
        </w:tc>
        <w:tc>
          <w:tcPr>
            <w:tcW w:type="dxa" w:w="2200"/>
            <w:tcMar>
              <w:top w:w="80" w:type="dxa"/>
              <w:start w:w="120" w:type="dxa"/>
              <w:bottom w:w="80" w:type="dxa"/>
              <w:end w:w="120" w:type="dxa"/>
            </w:tcMar>
            <w:vAlign w:val="center"/>
          </w:tcPr>
          <w:p>
            <w:pPr>
              <w:spacing w:after="40" w:line="252" w:lineRule="auto"/>
            </w:pPr>
            <w:r>
              <w:rPr>
                <w:sz w:val="19"/>
              </w:rPr>
              <w:t>TBD</w:t>
            </w:r>
          </w:p>
        </w:tc>
      </w:tr>
      <w:tr>
        <w:trPr>
          <w:cantSplit/>
        </w:trPr>
        <w:tc>
          <w:tcPr>
            <w:tcW w:type="dxa" w:w="500"/>
            <w:tcMar>
              <w:top w:w="80" w:type="dxa"/>
              <w:start w:w="120" w:type="dxa"/>
              <w:bottom w:w="80" w:type="dxa"/>
              <w:end w:w="120" w:type="dxa"/>
            </w:tcMar>
            <w:vAlign w:val="center"/>
            <w:shd w:fill="F8FAFC"/>
          </w:tcPr>
          <w:p>
            <w:pPr>
              <w:spacing w:after="40" w:line="252" w:lineRule="auto"/>
            </w:pPr>
            <w:r>
              <w:rPr>
                <w:sz w:val="19"/>
              </w:rPr>
              <w:t>8</w:t>
            </w:r>
          </w:p>
        </w:tc>
        <w:tc>
          <w:tcPr>
            <w:tcW w:type="dxa" w:w="2700"/>
            <w:tcMar>
              <w:top w:w="80" w:type="dxa"/>
              <w:start w:w="120" w:type="dxa"/>
              <w:bottom w:w="80" w:type="dxa"/>
              <w:end w:w="120" w:type="dxa"/>
            </w:tcMar>
            <w:vAlign w:val="center"/>
            <w:shd w:fill="F8FAFC"/>
          </w:tcPr>
          <w:p>
            <w:pPr>
              <w:spacing w:after="40" w:line="252" w:lineRule="auto"/>
            </w:pPr>
            <w:r>
              <w:rPr>
                <w:sz w:val="19"/>
              </w:rPr>
              <w:t>Human resources, training, professional services</w:t>
            </w:r>
          </w:p>
        </w:tc>
        <w:tc>
          <w:tcPr>
            <w:tcW w:type="dxa" w:w="3960"/>
            <w:tcMar>
              <w:top w:w="80" w:type="dxa"/>
              <w:start w:w="120" w:type="dxa"/>
              <w:bottom w:w="80" w:type="dxa"/>
              <w:end w:w="120" w:type="dxa"/>
            </w:tcMar>
            <w:vAlign w:val="center"/>
            <w:shd w:fill="F8FAFC"/>
          </w:tcPr>
          <w:p>
            <w:pPr>
              <w:spacing w:after="40" w:line="252" w:lineRule="auto"/>
            </w:pPr>
            <w:r>
              <w:rPr>
                <w:sz w:val="19"/>
              </w:rPr>
              <w:t>Person-months, training days</w:t>
            </w:r>
          </w:p>
        </w:tc>
        <w:tc>
          <w:tcPr>
            <w:tcW w:type="dxa" w:w="2200"/>
            <w:tcMar>
              <w:top w:w="80" w:type="dxa"/>
              <w:start w:w="120" w:type="dxa"/>
              <w:bottom w:w="80" w:type="dxa"/>
              <w:end w:w="120" w:type="dxa"/>
            </w:tcMar>
            <w:vAlign w:val="center"/>
            <w:shd w:fill="F8FAFC"/>
          </w:tcPr>
          <w:p>
            <w:pPr>
              <w:spacing w:after="40" w:line="252" w:lineRule="auto"/>
            </w:pPr>
            <w:r>
              <w:rPr>
                <w:sz w:val="19"/>
              </w:rPr>
              <w:t>TBD</w:t>
            </w:r>
          </w:p>
        </w:tc>
      </w:tr>
      <w:tr>
        <w:trPr>
          <w:cantSplit/>
        </w:trPr>
        <w:tc>
          <w:tcPr>
            <w:tcW w:type="dxa" w:w="500"/>
            <w:tcMar>
              <w:top w:w="80" w:type="dxa"/>
              <w:start w:w="120" w:type="dxa"/>
              <w:bottom w:w="80" w:type="dxa"/>
              <w:end w:w="120" w:type="dxa"/>
            </w:tcMar>
            <w:vAlign w:val="center"/>
          </w:tcPr>
          <w:p>
            <w:pPr>
              <w:spacing w:after="40" w:line="252" w:lineRule="auto"/>
            </w:pPr>
            <w:r>
              <w:rPr>
                <w:sz w:val="19"/>
              </w:rPr>
              <w:t>9</w:t>
            </w:r>
          </w:p>
        </w:tc>
        <w:tc>
          <w:tcPr>
            <w:tcW w:type="dxa" w:w="2700"/>
            <w:tcMar>
              <w:top w:w="80" w:type="dxa"/>
              <w:start w:w="120" w:type="dxa"/>
              <w:bottom w:w="80" w:type="dxa"/>
              <w:end w:w="120" w:type="dxa"/>
            </w:tcMar>
            <w:vAlign w:val="center"/>
          </w:tcPr>
          <w:p>
            <w:pPr>
              <w:spacing w:after="40" w:line="252" w:lineRule="auto"/>
            </w:pPr>
            <w:r>
              <w:rPr>
                <w:sz w:val="19"/>
              </w:rPr>
              <w:t>Communications, stakeholder engagement, materials</w:t>
            </w:r>
          </w:p>
        </w:tc>
        <w:tc>
          <w:tcPr>
            <w:tcW w:type="dxa" w:w="3960"/>
            <w:tcMar>
              <w:top w:w="80" w:type="dxa"/>
              <w:start w:w="120" w:type="dxa"/>
              <w:bottom w:w="80" w:type="dxa"/>
              <w:end w:w="120" w:type="dxa"/>
            </w:tcMar>
            <w:vAlign w:val="center"/>
          </w:tcPr>
          <w:p>
            <w:pPr>
              <w:spacing w:after="40" w:line="252" w:lineRule="auto"/>
            </w:pPr>
            <w:r>
              <w:rPr>
                <w:sz w:val="19"/>
              </w:rPr>
              <w:t>Events, publications, translation</w:t>
            </w:r>
          </w:p>
        </w:tc>
        <w:tc>
          <w:tcPr>
            <w:tcW w:type="dxa" w:w="2200"/>
            <w:tcMar>
              <w:top w:w="80" w:type="dxa"/>
              <w:start w:w="120" w:type="dxa"/>
              <w:bottom w:w="80" w:type="dxa"/>
              <w:end w:w="120" w:type="dxa"/>
            </w:tcMar>
            <w:vAlign w:val="center"/>
          </w:tcPr>
          <w:p>
            <w:pPr>
              <w:spacing w:after="40" w:line="252" w:lineRule="auto"/>
            </w:pPr>
            <w:r>
              <w:rPr>
                <w:sz w:val="19"/>
              </w:rPr>
              <w:t>TBD</w:t>
            </w:r>
          </w:p>
        </w:tc>
      </w:tr>
      <w:tr>
        <w:trPr>
          <w:cantSplit/>
        </w:trPr>
        <w:tc>
          <w:tcPr>
            <w:tcW w:type="dxa" w:w="500"/>
            <w:tcMar>
              <w:top w:w="80" w:type="dxa"/>
              <w:start w:w="120" w:type="dxa"/>
              <w:bottom w:w="80" w:type="dxa"/>
              <w:end w:w="120" w:type="dxa"/>
            </w:tcMar>
            <w:vAlign w:val="center"/>
            <w:shd w:fill="F8FAFC"/>
          </w:tcPr>
          <w:p>
            <w:pPr>
              <w:spacing w:after="40" w:line="252" w:lineRule="auto"/>
            </w:pPr>
            <w:r>
              <w:rPr>
                <w:sz w:val="19"/>
              </w:rPr>
              <w:t>10</w:t>
            </w:r>
          </w:p>
        </w:tc>
        <w:tc>
          <w:tcPr>
            <w:tcW w:type="dxa" w:w="2700"/>
            <w:tcMar>
              <w:top w:w="80" w:type="dxa"/>
              <w:start w:w="120" w:type="dxa"/>
              <w:bottom w:w="80" w:type="dxa"/>
              <w:end w:w="120" w:type="dxa"/>
            </w:tcMar>
            <w:vAlign w:val="center"/>
            <w:shd w:fill="F8FAFC"/>
          </w:tcPr>
          <w:p>
            <w:pPr>
              <w:spacing w:after="40" w:line="252" w:lineRule="auto"/>
            </w:pPr>
            <w:r>
              <w:rPr>
                <w:sz w:val="19"/>
              </w:rPr>
              <w:t>Monitoring, audit, insurance</w:t>
            </w:r>
          </w:p>
        </w:tc>
        <w:tc>
          <w:tcPr>
            <w:tcW w:type="dxa" w:w="3960"/>
            <w:tcMar>
              <w:top w:w="80" w:type="dxa"/>
              <w:start w:w="120" w:type="dxa"/>
              <w:bottom w:w="80" w:type="dxa"/>
              <w:end w:w="120" w:type="dxa"/>
            </w:tcMar>
            <w:vAlign w:val="center"/>
            <w:shd w:fill="F8FAFC"/>
          </w:tcPr>
          <w:p>
            <w:pPr>
              <w:spacing w:after="40" w:line="252" w:lineRule="auto"/>
            </w:pPr>
            <w:r>
              <w:rPr>
                <w:sz w:val="19"/>
              </w:rPr>
              <w:t>Contracted services</w:t>
            </w:r>
          </w:p>
        </w:tc>
        <w:tc>
          <w:tcPr>
            <w:tcW w:type="dxa" w:w="2200"/>
            <w:tcMar>
              <w:top w:w="80" w:type="dxa"/>
              <w:start w:w="120" w:type="dxa"/>
              <w:bottom w:w="80" w:type="dxa"/>
              <w:end w:w="120" w:type="dxa"/>
            </w:tcMar>
            <w:vAlign w:val="center"/>
            <w:shd w:fill="F8FAFC"/>
          </w:tcPr>
          <w:p>
            <w:pPr>
              <w:spacing w:after="40" w:line="252" w:lineRule="auto"/>
            </w:pPr>
            <w:r>
              <w:rPr>
                <w:sz w:val="19"/>
              </w:rPr>
              <w:t>TBD</w:t>
            </w:r>
          </w:p>
        </w:tc>
      </w:tr>
      <w:tr>
        <w:trPr>
          <w:cantSplit/>
        </w:trPr>
        <w:tc>
          <w:tcPr>
            <w:tcW w:type="dxa" w:w="500"/>
            <w:tcMar>
              <w:top w:w="80" w:type="dxa"/>
              <w:start w:w="120" w:type="dxa"/>
              <w:bottom w:w="80" w:type="dxa"/>
              <w:end w:w="120" w:type="dxa"/>
            </w:tcMar>
            <w:vAlign w:val="center"/>
          </w:tcPr>
          <w:p>
            <w:pPr>
              <w:spacing w:after="40" w:line="252" w:lineRule="auto"/>
            </w:pPr>
            <w:r>
              <w:rPr>
                <w:sz w:val="19"/>
              </w:rPr>
              <w:t>11</w:t>
            </w:r>
          </w:p>
        </w:tc>
        <w:tc>
          <w:tcPr>
            <w:tcW w:type="dxa" w:w="2700"/>
            <w:tcMar>
              <w:top w:w="80" w:type="dxa"/>
              <w:start w:w="120" w:type="dxa"/>
              <w:bottom w:w="80" w:type="dxa"/>
              <w:end w:w="120" w:type="dxa"/>
            </w:tcMar>
            <w:vAlign w:val="center"/>
          </w:tcPr>
          <w:p>
            <w:pPr>
              <w:spacing w:after="40" w:line="252" w:lineRule="auto"/>
            </w:pPr>
            <w:r>
              <w:rPr>
                <w:sz w:val="19"/>
              </w:rPr>
              <w:t>Contingency</w:t>
            </w:r>
          </w:p>
        </w:tc>
        <w:tc>
          <w:tcPr>
            <w:tcW w:type="dxa" w:w="3960"/>
            <w:tcMar>
              <w:top w:w="80" w:type="dxa"/>
              <w:start w:w="120" w:type="dxa"/>
              <w:bottom w:w="80" w:type="dxa"/>
              <w:end w:w="120" w:type="dxa"/>
            </w:tcMar>
            <w:vAlign w:val="center"/>
          </w:tcPr>
          <w:p>
            <w:pPr>
              <w:spacing w:after="40" w:line="252" w:lineRule="auto"/>
            </w:pPr>
            <w:r>
              <w:rPr>
                <w:sz w:val="19"/>
              </w:rPr>
              <w:t>5–10% of approved direct costs</w:t>
            </w:r>
          </w:p>
        </w:tc>
        <w:tc>
          <w:tcPr>
            <w:tcW w:type="dxa" w:w="2200"/>
            <w:tcMar>
              <w:top w:w="80" w:type="dxa"/>
              <w:start w:w="120" w:type="dxa"/>
              <w:bottom w:w="80" w:type="dxa"/>
              <w:end w:w="120" w:type="dxa"/>
            </w:tcMar>
            <w:vAlign w:val="center"/>
          </w:tcPr>
          <w:p>
            <w:pPr>
              <w:spacing w:after="40" w:line="252" w:lineRule="auto"/>
            </w:pPr>
            <w:r>
              <w:rPr>
                <w:sz w:val="19"/>
              </w:rPr>
              <w:t>TBD</w:t>
            </w:r>
          </w:p>
        </w:tc>
      </w:tr>
      <w:tr>
        <w:trPr>
          <w:cantSplit/>
        </w:trPr>
        <w:tc>
          <w:tcPr>
            <w:tcW w:type="dxa" w:w="500"/>
            <w:tcMar>
              <w:top w:w="80" w:type="dxa"/>
              <w:start w:w="120" w:type="dxa"/>
              <w:bottom w:w="80" w:type="dxa"/>
              <w:end w:w="120" w:type="dxa"/>
            </w:tcMar>
            <w:vAlign w:val="center"/>
            <w:shd w:fill="F8FAFC"/>
          </w:tcPr>
          <w:p>
            <w:pPr>
              <w:spacing w:after="40" w:line="252" w:lineRule="auto"/>
            </w:pPr>
            <w:r>
              <w:rPr>
                <w:sz w:val="19"/>
              </w:rPr>
            </w:r>
          </w:p>
        </w:tc>
        <w:tc>
          <w:tcPr>
            <w:tcW w:type="dxa" w:w="2700"/>
            <w:tcMar>
              <w:top w:w="80" w:type="dxa"/>
              <w:start w:w="120" w:type="dxa"/>
              <w:bottom w:w="80" w:type="dxa"/>
              <w:end w:w="120" w:type="dxa"/>
            </w:tcMar>
            <w:vAlign w:val="center"/>
            <w:shd w:fill="F8FAFC"/>
          </w:tcPr>
          <w:p>
            <w:pPr>
              <w:spacing w:after="40" w:line="252" w:lineRule="auto"/>
            </w:pPr>
            <w:r>
              <w:rPr>
                <w:sz w:val="19"/>
              </w:rPr>
              <w:t>TOTAL</w:t>
            </w:r>
          </w:p>
        </w:tc>
        <w:tc>
          <w:tcPr>
            <w:tcW w:type="dxa" w:w="3960"/>
            <w:tcMar>
              <w:top w:w="80" w:type="dxa"/>
              <w:start w:w="120" w:type="dxa"/>
              <w:bottom w:w="80" w:type="dxa"/>
              <w:end w:w="120" w:type="dxa"/>
            </w:tcMar>
            <w:vAlign w:val="center"/>
            <w:shd w:fill="F8FAFC"/>
          </w:tcPr>
          <w:p>
            <w:pPr>
              <w:spacing w:after="40" w:line="252" w:lineRule="auto"/>
            </w:pPr>
            <w:r>
              <w:rPr>
                <w:sz w:val="19"/>
              </w:rPr>
            </w:r>
          </w:p>
        </w:tc>
        <w:tc>
          <w:tcPr>
            <w:tcW w:type="dxa" w:w="2200"/>
            <w:tcMar>
              <w:top w:w="80" w:type="dxa"/>
              <w:start w:w="120" w:type="dxa"/>
              <w:bottom w:w="80" w:type="dxa"/>
              <w:end w:w="120" w:type="dxa"/>
            </w:tcMar>
            <w:vAlign w:val="center"/>
            <w:shd w:fill="F8FAFC"/>
          </w:tcPr>
          <w:p>
            <w:pPr>
              <w:spacing w:after="40" w:line="252" w:lineRule="auto"/>
            </w:pPr>
            <w:r>
              <w:rPr>
                <w:sz w:val="19"/>
              </w:rPr>
              <w:t>TBD</w:t>
            </w:r>
          </w:p>
        </w:tc>
      </w:tr>
    </w:tbl>
    <w:p>
      <w:pPr>
        <w:spacing w:after="20"/>
      </w:pPr>
    </w:p>
    <w:p>
      <w:pPr>
        <w:pStyle w:val="Heading2"/>
      </w:pPr>
      <w:r>
        <w:t>12.1 Budget Approval Principles</w:t>
      </w:r>
    </w:p>
    <w:p>
      <w:pPr>
        <w:pStyle w:val="ListBullet"/>
        <w:spacing w:after="80" w:line="290" w:lineRule="auto"/>
      </w:pPr>
      <w:r>
        <w:t>Where feasible, at least three comparative quotes will be obtained for any given procurement category.</w:t>
      </w:r>
    </w:p>
    <w:p>
      <w:pPr>
        <w:pStyle w:val="ListBullet"/>
        <w:spacing w:after="80" w:line="290" w:lineRule="auto"/>
      </w:pPr>
      <w:r>
        <w:t>Supplier safety record, warranty, training, spare parts, calibration, and repair terms will be evaluated alongside price.</w:t>
      </w:r>
    </w:p>
    <w:p>
      <w:pPr>
        <w:pStyle w:val="ListBullet"/>
        <w:spacing w:after="80" w:line="290" w:lineRule="auto"/>
      </w:pPr>
      <w:r>
        <w:t>Project staff salaries, taxes, insurance, VAT, and currency risk will be costed separately.</w:t>
      </w:r>
    </w:p>
    <w:p>
      <w:pPr>
        <w:pStyle w:val="ListBullet"/>
        <w:spacing w:after="80" w:line="290" w:lineRule="auto"/>
      </w:pPr>
      <w:r>
        <w:t>Contingency funds will be used only against an approved change request.</w:t>
      </w:r>
    </w:p>
    <w:p>
      <w:pPr>
        <w:pStyle w:val="ListBullet"/>
        <w:spacing w:after="80" w:line="290" w:lineRule="auto"/>
      </w:pPr>
      <w:r>
        <w:t>In-kind contributions from the organization and partners (facilities, equipment, expert time, information) will be valued and recorded.</w:t>
      </w:r>
    </w:p>
    <w:p>
      <w:pPr>
        <w:pStyle w:val="Heading2"/>
      </w:pPr>
      <w:r>
        <w:t>12.2 Potential Financing Package</w:t>
      </w:r>
    </w:p>
    <w:p>
      <w:pPr>
        <w:pStyle w:val="ListBullet"/>
        <w:spacing w:after="80" w:line="290" w:lineRule="auto"/>
      </w:pPr>
      <w:r>
        <w:t>Government support in the form of policy, infrastructure, and permitting.</w:t>
      </w:r>
    </w:p>
    <w:p>
      <w:pPr>
        <w:pStyle w:val="ListBullet"/>
        <w:spacing w:after="80" w:line="290" w:lineRule="auto"/>
      </w:pPr>
      <w:r>
        <w:t>Co-financing from importers, manufacturers, and distributors in preparation for EPR.</w:t>
      </w:r>
    </w:p>
    <w:p>
      <w:pPr>
        <w:pStyle w:val="ListBullet"/>
        <w:spacing w:after="80" w:line="290" w:lineRule="auto"/>
      </w:pPr>
      <w:r>
        <w:t>Grants from international organizations, development banks, and climate/circular-economy funds.</w:t>
      </w:r>
    </w:p>
    <w:p>
      <w:pPr>
        <w:pStyle w:val="ListBullet"/>
        <w:spacing w:after="80" w:line="290" w:lineRule="auto"/>
      </w:pPr>
      <w:r>
        <w:t>In-kind support from technology suppliers in the form of equipment, training, and licensing.</w:t>
      </w:r>
    </w:p>
    <w:p>
      <w:pPr>
        <w:pStyle w:val="ListBullet"/>
        <w:spacing w:after="80" w:line="290" w:lineRule="auto"/>
      </w:pPr>
      <w:r>
        <w:t>Methodological and laboratory validation support from universities and research institutions.</w:t>
      </w:r>
    </w:p>
    <w:p>
      <w:pPr>
        <w:pStyle w:val="Heading1"/>
      </w:pPr>
      <w:r>
        <w:t>13. Risk Management</w:t>
      </w:r>
    </w:p>
    <w:tbl>
      <w:tblPr>
        <w:tblStyle w:val="TableGrid"/>
        <w:tblW w:type="dxa" w:w="9360"/>
        <w:jc w:val="center"/>
        <w:tblLayout w:type="fixed"/>
        <w:tblLook w:firstColumn="1" w:firstRow="1" w:lastColumn="0" w:lastRow="0" w:noHBand="0" w:noVBand="1" w:val="04A0"/>
        <w:tblInd w:w="120" w:type="dxa"/>
      </w:tblPr>
      <w:tblGrid>
        <w:gridCol w:w="2000"/>
        <w:gridCol w:w="1500"/>
        <w:gridCol w:w="4300"/>
        <w:gridCol w:w="1560"/>
      </w:tblGrid>
      <w:tr>
        <w:trPr>
          <w:tblHeader w:val="true"/>
          <w:cantSplit/>
        </w:trPr>
        <w:tc>
          <w:tcPr>
            <w:tcW w:type="dxa" w:w="2000"/>
            <w:tcMar>
              <w:top w:w="80" w:type="dxa"/>
              <w:start w:w="120" w:type="dxa"/>
              <w:bottom w:w="80" w:type="dxa"/>
              <w:end w:w="120" w:type="dxa"/>
            </w:tcMar>
            <w:vAlign w:val="center"/>
            <w:shd w:fill="1F4D78"/>
          </w:tcPr>
          <w:p>
            <w:pPr>
              <w:spacing w:after="40" w:line="252" w:lineRule="auto"/>
            </w:pPr>
            <w:r>
              <w:rPr>
                <w:b/>
                <w:color w:val="FFFFFF"/>
                <w:sz w:val="19"/>
              </w:rPr>
              <w:t>Risk</w:t>
            </w:r>
          </w:p>
        </w:tc>
        <w:tc>
          <w:tcPr>
            <w:tcW w:type="dxa" w:w="1500"/>
            <w:tcMar>
              <w:top w:w="80" w:type="dxa"/>
              <w:start w:w="120" w:type="dxa"/>
              <w:bottom w:w="80" w:type="dxa"/>
              <w:end w:w="120" w:type="dxa"/>
            </w:tcMar>
            <w:vAlign w:val="center"/>
            <w:shd w:fill="1F4D78"/>
          </w:tcPr>
          <w:p>
            <w:pPr>
              <w:spacing w:after="40" w:line="252" w:lineRule="auto"/>
            </w:pPr>
            <w:r>
              <w:rPr>
                <w:b/>
                <w:color w:val="FFFFFF"/>
                <w:sz w:val="19"/>
              </w:rPr>
              <w:t>Likelihood/Impact</w:t>
            </w:r>
          </w:p>
        </w:tc>
        <w:tc>
          <w:tcPr>
            <w:tcW w:type="dxa" w:w="4300"/>
            <w:tcMar>
              <w:top w:w="80" w:type="dxa"/>
              <w:start w:w="120" w:type="dxa"/>
              <w:bottom w:w="80" w:type="dxa"/>
              <w:end w:w="120" w:type="dxa"/>
            </w:tcMar>
            <w:vAlign w:val="center"/>
            <w:shd w:fill="1F4D78"/>
          </w:tcPr>
          <w:p>
            <w:pPr>
              <w:spacing w:after="40" w:line="252" w:lineRule="auto"/>
            </w:pPr>
            <w:r>
              <w:rPr>
                <w:b/>
                <w:color w:val="FFFFFF"/>
                <w:sz w:val="19"/>
              </w:rPr>
              <w:t>Mitigation Measures</w:t>
            </w:r>
          </w:p>
        </w:tc>
        <w:tc>
          <w:tcPr>
            <w:tcW w:type="dxa" w:w="1560"/>
            <w:tcMar>
              <w:top w:w="80" w:type="dxa"/>
              <w:start w:w="120" w:type="dxa"/>
              <w:bottom w:w="80" w:type="dxa"/>
              <w:end w:w="120" w:type="dxa"/>
            </w:tcMar>
            <w:vAlign w:val="center"/>
            <w:shd w:fill="1F4D78"/>
          </w:tcPr>
          <w:p>
            <w:pPr>
              <w:spacing w:after="40" w:line="252" w:lineRule="auto"/>
            </w:pPr>
            <w:r>
              <w:rPr>
                <w:b/>
                <w:color w:val="FFFFFF"/>
                <w:sz w:val="19"/>
              </w:rPr>
              <w:t>Owner</w:t>
            </w:r>
          </w:p>
        </w:tc>
      </w:tr>
      <w:tr>
        <w:trPr>
          <w:cantSplit/>
        </w:trPr>
        <w:tc>
          <w:tcPr>
            <w:tcW w:type="dxa" w:w="2000"/>
            <w:tcMar>
              <w:top w:w="80" w:type="dxa"/>
              <w:start w:w="120" w:type="dxa"/>
              <w:bottom w:w="80" w:type="dxa"/>
              <w:end w:w="120" w:type="dxa"/>
            </w:tcMar>
            <w:vAlign w:val="center"/>
          </w:tcPr>
          <w:p>
            <w:pPr>
              <w:spacing w:after="40" w:line="252" w:lineRule="auto"/>
            </w:pPr>
            <w:r>
              <w:rPr>
                <w:sz w:val="19"/>
              </w:rPr>
              <w:t>Permitting delays</w:t>
            </w:r>
          </w:p>
        </w:tc>
        <w:tc>
          <w:tcPr>
            <w:tcW w:type="dxa" w:w="1500"/>
            <w:tcMar>
              <w:top w:w="80" w:type="dxa"/>
              <w:start w:w="120" w:type="dxa"/>
              <w:bottom w:w="80" w:type="dxa"/>
              <w:end w:w="120" w:type="dxa"/>
            </w:tcMar>
            <w:vAlign w:val="center"/>
          </w:tcPr>
          <w:p>
            <w:pPr>
              <w:spacing w:after="40" w:line="252" w:lineRule="auto"/>
            </w:pPr>
            <w:r>
              <w:rPr>
                <w:sz w:val="19"/>
              </w:rPr>
              <w:t>Medium/High</w:t>
            </w:r>
          </w:p>
        </w:tc>
        <w:tc>
          <w:tcPr>
            <w:tcW w:type="dxa" w:w="4300"/>
            <w:tcMar>
              <w:top w:w="80" w:type="dxa"/>
              <w:start w:w="120" w:type="dxa"/>
              <w:bottom w:w="80" w:type="dxa"/>
              <w:end w:w="120" w:type="dxa"/>
            </w:tcMar>
            <w:vAlign w:val="center"/>
          </w:tcPr>
          <w:p>
            <w:pPr>
              <w:spacing w:after="40" w:line="252" w:lineRule="auto"/>
            </w:pPr>
            <w:r>
              <w:rPr>
                <w:sz w:val="19"/>
              </w:rPr>
              <w:t>Early mapping; pre-consultation with authorities; phased contracting</w:t>
            </w:r>
          </w:p>
        </w:tc>
        <w:tc>
          <w:tcPr>
            <w:tcW w:type="dxa" w:w="1560"/>
            <w:tcMar>
              <w:top w:w="80" w:type="dxa"/>
              <w:start w:w="120" w:type="dxa"/>
              <w:bottom w:w="80" w:type="dxa"/>
              <w:end w:w="120" w:type="dxa"/>
            </w:tcMar>
            <w:vAlign w:val="center"/>
          </w:tcPr>
          <w:p>
            <w:pPr>
              <w:spacing w:after="40" w:line="252" w:lineRule="auto"/>
            </w:pPr>
            <w:r>
              <w:rPr>
                <w:sz w:val="19"/>
              </w:rPr>
              <w:t>Project Director</w:t>
            </w:r>
          </w:p>
        </w:tc>
      </w:tr>
      <w:tr>
        <w:trPr>
          <w:cantSplit/>
        </w:trPr>
        <w:tc>
          <w:tcPr>
            <w:tcW w:type="dxa" w:w="2000"/>
            <w:tcMar>
              <w:top w:w="80" w:type="dxa"/>
              <w:start w:w="120" w:type="dxa"/>
              <w:bottom w:w="80" w:type="dxa"/>
              <w:end w:w="120" w:type="dxa"/>
            </w:tcMar>
            <w:vAlign w:val="center"/>
            <w:shd w:fill="F8FAFC"/>
          </w:tcPr>
          <w:p>
            <w:pPr>
              <w:spacing w:after="40" w:line="252" w:lineRule="auto"/>
            </w:pPr>
            <w:r>
              <w:rPr>
                <w:sz w:val="19"/>
              </w:rPr>
              <w:t>Thermal runaway/fire</w:t>
            </w:r>
          </w:p>
        </w:tc>
        <w:tc>
          <w:tcPr>
            <w:tcW w:type="dxa" w:w="1500"/>
            <w:tcMar>
              <w:top w:w="80" w:type="dxa"/>
              <w:start w:w="120" w:type="dxa"/>
              <w:bottom w:w="80" w:type="dxa"/>
              <w:end w:w="120" w:type="dxa"/>
            </w:tcMar>
            <w:vAlign w:val="center"/>
            <w:shd w:fill="F8FAFC"/>
          </w:tcPr>
          <w:p>
            <w:pPr>
              <w:spacing w:after="40" w:line="252" w:lineRule="auto"/>
            </w:pPr>
            <w:r>
              <w:rPr>
                <w:sz w:val="19"/>
              </w:rPr>
              <w:t>Low–Medium/Very High</w:t>
            </w:r>
          </w:p>
        </w:tc>
        <w:tc>
          <w:tcPr>
            <w:tcW w:type="dxa" w:w="4300"/>
            <w:tcMar>
              <w:top w:w="80" w:type="dxa"/>
              <w:start w:w="120" w:type="dxa"/>
              <w:bottom w:w="80" w:type="dxa"/>
              <w:end w:w="120" w:type="dxa"/>
            </w:tcMar>
            <w:vAlign w:val="center"/>
            <w:shd w:fill="F8FAFC"/>
          </w:tcPr>
          <w:p>
            <w:pPr>
              <w:spacing w:after="40" w:line="252" w:lineRule="auto"/>
            </w:pPr>
            <w:r>
              <w:rPr>
                <w:sz w:val="19"/>
              </w:rPr>
              <w:t>Advance notification; quarantine; thermal monitoring; SOPs; drills; stop-work authority</w:t>
            </w:r>
          </w:p>
        </w:tc>
        <w:tc>
          <w:tcPr>
            <w:tcW w:type="dxa" w:w="1560"/>
            <w:tcMar>
              <w:top w:w="80" w:type="dxa"/>
              <w:start w:w="120" w:type="dxa"/>
              <w:bottom w:w="80" w:type="dxa"/>
              <w:end w:w="120" w:type="dxa"/>
            </w:tcMar>
            <w:vAlign w:val="center"/>
            <w:shd w:fill="F8FAFC"/>
          </w:tcPr>
          <w:p>
            <w:pPr>
              <w:spacing w:after="40" w:line="252" w:lineRule="auto"/>
            </w:pPr>
            <w:r>
              <w:rPr>
                <w:sz w:val="19"/>
              </w:rPr>
              <w:t>EHS Lead</w:t>
            </w:r>
          </w:p>
        </w:tc>
      </w:tr>
      <w:tr>
        <w:trPr>
          <w:cantSplit/>
        </w:trPr>
        <w:tc>
          <w:tcPr>
            <w:tcW w:type="dxa" w:w="2000"/>
            <w:tcMar>
              <w:top w:w="80" w:type="dxa"/>
              <w:start w:w="120" w:type="dxa"/>
              <w:bottom w:w="80" w:type="dxa"/>
              <w:end w:w="120" w:type="dxa"/>
            </w:tcMar>
            <w:vAlign w:val="center"/>
          </w:tcPr>
          <w:p>
            <w:pPr>
              <w:spacing w:after="40" w:line="252" w:lineRule="auto"/>
            </w:pPr>
            <w:r>
              <w:rPr>
                <w:sz w:val="19"/>
              </w:rPr>
              <w:t>Misclassification</w:t>
            </w:r>
          </w:p>
        </w:tc>
        <w:tc>
          <w:tcPr>
            <w:tcW w:type="dxa" w:w="1500"/>
            <w:tcMar>
              <w:top w:w="80" w:type="dxa"/>
              <w:start w:w="120" w:type="dxa"/>
              <w:bottom w:w="80" w:type="dxa"/>
              <w:end w:w="120" w:type="dxa"/>
            </w:tcMar>
            <w:vAlign w:val="center"/>
          </w:tcPr>
          <w:p>
            <w:pPr>
              <w:spacing w:after="40" w:line="252" w:lineRule="auto"/>
            </w:pPr>
            <w:r>
              <w:rPr>
                <w:sz w:val="19"/>
              </w:rPr>
              <w:t>Medium/High</w:t>
            </w:r>
          </w:p>
        </w:tc>
        <w:tc>
          <w:tcPr>
            <w:tcW w:type="dxa" w:w="4300"/>
            <w:tcMar>
              <w:top w:w="80" w:type="dxa"/>
              <w:start w:w="120" w:type="dxa"/>
              <w:bottom w:w="80" w:type="dxa"/>
              <w:end w:w="120" w:type="dxa"/>
            </w:tcMar>
            <w:vAlign w:val="center"/>
          </w:tcPr>
          <w:p>
            <w:pPr>
              <w:spacing w:after="40" w:line="252" w:lineRule="auto"/>
            </w:pPr>
            <w:r>
              <w:rPr>
                <w:sz w:val="19"/>
              </w:rPr>
              <w:t>Dual verification; calibration; approved criteria; default to Category D when uncertain</w:t>
            </w:r>
          </w:p>
        </w:tc>
        <w:tc>
          <w:tcPr>
            <w:tcW w:type="dxa" w:w="1560"/>
            <w:tcMar>
              <w:top w:w="80" w:type="dxa"/>
              <w:start w:w="120" w:type="dxa"/>
              <w:bottom w:w="80" w:type="dxa"/>
              <w:end w:w="120" w:type="dxa"/>
            </w:tcMar>
            <w:vAlign w:val="center"/>
          </w:tcPr>
          <w:p>
            <w:pPr>
              <w:spacing w:after="40" w:line="252" w:lineRule="auto"/>
            </w:pPr>
            <w:r>
              <w:rPr>
                <w:sz w:val="19"/>
              </w:rPr>
              <w:t>Technical Lead</w:t>
            </w:r>
          </w:p>
        </w:tc>
      </w:tr>
      <w:tr>
        <w:trPr>
          <w:cantSplit/>
        </w:trPr>
        <w:tc>
          <w:tcPr>
            <w:tcW w:type="dxa" w:w="2000"/>
            <w:tcMar>
              <w:top w:w="80" w:type="dxa"/>
              <w:start w:w="120" w:type="dxa"/>
              <w:bottom w:w="80" w:type="dxa"/>
              <w:end w:w="120" w:type="dxa"/>
            </w:tcMar>
            <w:vAlign w:val="center"/>
            <w:shd w:fill="F8FAFC"/>
          </w:tcPr>
          <w:p>
            <w:pPr>
              <w:spacing w:after="40" w:line="252" w:lineRule="auto"/>
            </w:pPr>
            <w:r>
              <w:rPr>
                <w:sz w:val="19"/>
              </w:rPr>
              <w:t>Insufficient input flow</w:t>
            </w:r>
          </w:p>
        </w:tc>
        <w:tc>
          <w:tcPr>
            <w:tcW w:type="dxa" w:w="1500"/>
            <w:tcMar>
              <w:top w:w="80" w:type="dxa"/>
              <w:start w:w="120" w:type="dxa"/>
              <w:bottom w:w="80" w:type="dxa"/>
              <w:end w:w="120" w:type="dxa"/>
            </w:tcMar>
            <w:vAlign w:val="center"/>
            <w:shd w:fill="F8FAFC"/>
          </w:tcPr>
          <w:p>
            <w:pPr>
              <w:spacing w:after="40" w:line="252" w:lineRule="auto"/>
            </w:pPr>
            <w:r>
              <w:rPr>
                <w:sz w:val="19"/>
              </w:rPr>
              <w:t>Medium/Medium</w:t>
            </w:r>
          </w:p>
        </w:tc>
        <w:tc>
          <w:tcPr>
            <w:tcW w:type="dxa" w:w="4300"/>
            <w:tcMar>
              <w:top w:w="80" w:type="dxa"/>
              <w:start w:w="120" w:type="dxa"/>
              <w:bottom w:w="80" w:type="dxa"/>
              <w:end w:w="120" w:type="dxa"/>
            </w:tcMar>
            <w:vAlign w:val="center"/>
            <w:shd w:fill="F8FAFC"/>
          </w:tcPr>
          <w:p>
            <w:pPr>
              <w:spacing w:after="40" w:line="252" w:lineRule="auto"/>
            </w:pPr>
            <w:r>
              <w:rPr>
                <w:sz w:val="19"/>
              </w:rPr>
              <w:t>Partner agreements; phased procurement; modular capacity</w:t>
            </w:r>
          </w:p>
        </w:tc>
        <w:tc>
          <w:tcPr>
            <w:tcW w:type="dxa" w:w="1560"/>
            <w:tcMar>
              <w:top w:w="80" w:type="dxa"/>
              <w:start w:w="120" w:type="dxa"/>
              <w:bottom w:w="80" w:type="dxa"/>
              <w:end w:w="120" w:type="dxa"/>
            </w:tcMar>
            <w:vAlign w:val="center"/>
            <w:shd w:fill="F8FAFC"/>
          </w:tcPr>
          <w:p>
            <w:pPr>
              <w:spacing w:after="40" w:line="252" w:lineRule="auto"/>
            </w:pPr>
            <w:r>
              <w:rPr>
                <w:sz w:val="19"/>
              </w:rPr>
              <w:t>Project Manager</w:t>
            </w:r>
          </w:p>
        </w:tc>
      </w:tr>
      <w:tr>
        <w:trPr>
          <w:cantSplit/>
        </w:trPr>
        <w:tc>
          <w:tcPr>
            <w:tcW w:type="dxa" w:w="2000"/>
            <w:tcMar>
              <w:top w:w="80" w:type="dxa"/>
              <w:start w:w="120" w:type="dxa"/>
              <w:bottom w:w="80" w:type="dxa"/>
              <w:end w:w="120" w:type="dxa"/>
            </w:tcMar>
            <w:vAlign w:val="center"/>
          </w:tcPr>
          <w:p>
            <w:pPr>
              <w:spacing w:after="40" w:line="252" w:lineRule="auto"/>
            </w:pPr>
            <w:r>
              <w:rPr>
                <w:sz w:val="19"/>
              </w:rPr>
              <w:t>Missing/lost data</w:t>
            </w:r>
          </w:p>
        </w:tc>
        <w:tc>
          <w:tcPr>
            <w:tcW w:type="dxa" w:w="1500"/>
            <w:tcMar>
              <w:top w:w="80" w:type="dxa"/>
              <w:start w:w="120" w:type="dxa"/>
              <w:bottom w:w="80" w:type="dxa"/>
              <w:end w:w="120" w:type="dxa"/>
            </w:tcMar>
            <w:vAlign w:val="center"/>
          </w:tcPr>
          <w:p>
            <w:pPr>
              <w:spacing w:after="40" w:line="252" w:lineRule="auto"/>
            </w:pPr>
            <w:r>
              <w:rPr>
                <w:sz w:val="19"/>
              </w:rPr>
              <w:t>Medium/High</w:t>
            </w:r>
          </w:p>
        </w:tc>
        <w:tc>
          <w:tcPr>
            <w:tcW w:type="dxa" w:w="4300"/>
            <w:tcMar>
              <w:top w:w="80" w:type="dxa"/>
              <w:start w:w="120" w:type="dxa"/>
              <w:bottom w:w="80" w:type="dxa"/>
              <w:end w:w="120" w:type="dxa"/>
            </w:tcMar>
            <w:vAlign w:val="center"/>
          </w:tcPr>
          <w:p>
            <w:pPr>
              <w:spacing w:after="40" w:line="252" w:lineRule="auto"/>
            </w:pPr>
            <w:r>
              <w:rPr>
                <w:sz w:val="19"/>
              </w:rPr>
              <w:t>Mandatory fields; audit trail; backups; access controls</w:t>
            </w:r>
          </w:p>
        </w:tc>
        <w:tc>
          <w:tcPr>
            <w:tcW w:type="dxa" w:w="1560"/>
            <w:tcMar>
              <w:top w:w="80" w:type="dxa"/>
              <w:start w:w="120" w:type="dxa"/>
              <w:bottom w:w="80" w:type="dxa"/>
              <w:end w:w="120" w:type="dxa"/>
            </w:tcMar>
            <w:vAlign w:val="center"/>
          </w:tcPr>
          <w:p>
            <w:pPr>
              <w:spacing w:after="40" w:line="252" w:lineRule="auto"/>
            </w:pPr>
            <w:r>
              <w:rPr>
                <w:sz w:val="19"/>
              </w:rPr>
              <w:t>Data Officer</w:t>
            </w:r>
          </w:p>
        </w:tc>
      </w:tr>
      <w:tr>
        <w:trPr>
          <w:cantSplit/>
        </w:trPr>
        <w:tc>
          <w:tcPr>
            <w:tcW w:type="dxa" w:w="2000"/>
            <w:tcMar>
              <w:top w:w="80" w:type="dxa"/>
              <w:start w:w="120" w:type="dxa"/>
              <w:bottom w:w="80" w:type="dxa"/>
              <w:end w:w="120" w:type="dxa"/>
            </w:tcMar>
            <w:vAlign w:val="center"/>
            <w:shd w:fill="F8FAFC"/>
          </w:tcPr>
          <w:p>
            <w:pPr>
              <w:spacing w:after="40" w:line="252" w:lineRule="auto"/>
            </w:pPr>
            <w:r>
              <w:rPr>
                <w:sz w:val="19"/>
              </w:rPr>
              <w:t>Cost escalation/currency</w:t>
            </w:r>
          </w:p>
        </w:tc>
        <w:tc>
          <w:tcPr>
            <w:tcW w:type="dxa" w:w="1500"/>
            <w:tcMar>
              <w:top w:w="80" w:type="dxa"/>
              <w:start w:w="120" w:type="dxa"/>
              <w:bottom w:w="80" w:type="dxa"/>
              <w:end w:w="120" w:type="dxa"/>
            </w:tcMar>
            <w:vAlign w:val="center"/>
            <w:shd w:fill="F8FAFC"/>
          </w:tcPr>
          <w:p>
            <w:pPr>
              <w:spacing w:after="40" w:line="252" w:lineRule="auto"/>
            </w:pPr>
            <w:r>
              <w:rPr>
                <w:sz w:val="19"/>
              </w:rPr>
              <w:t>High/Medium</w:t>
            </w:r>
          </w:p>
        </w:tc>
        <w:tc>
          <w:tcPr>
            <w:tcW w:type="dxa" w:w="4300"/>
            <w:tcMar>
              <w:top w:w="80" w:type="dxa"/>
              <w:start w:w="120" w:type="dxa"/>
              <w:bottom w:w="80" w:type="dxa"/>
              <w:end w:w="120" w:type="dxa"/>
            </w:tcMar>
            <w:vAlign w:val="center"/>
            <w:shd w:fill="F8FAFC"/>
          </w:tcPr>
          <w:p>
            <w:pPr>
              <w:spacing w:after="40" w:line="252" w:lineRule="auto"/>
            </w:pPr>
            <w:r>
              <w:rPr>
                <w:sz w:val="19"/>
              </w:rPr>
              <w:t>Price quotes; contingency; bundled procurement; currency clauses</w:t>
            </w:r>
          </w:p>
        </w:tc>
        <w:tc>
          <w:tcPr>
            <w:tcW w:type="dxa" w:w="1560"/>
            <w:tcMar>
              <w:top w:w="80" w:type="dxa"/>
              <w:start w:w="120" w:type="dxa"/>
              <w:bottom w:w="80" w:type="dxa"/>
              <w:end w:w="120" w:type="dxa"/>
            </w:tcMar>
            <w:vAlign w:val="center"/>
            <w:shd w:fill="F8FAFC"/>
          </w:tcPr>
          <w:p>
            <w:pPr>
              <w:spacing w:after="40" w:line="252" w:lineRule="auto"/>
            </w:pPr>
            <w:r>
              <w:rPr>
                <w:sz w:val="19"/>
              </w:rPr>
              <w:t>Finance</w:t>
            </w:r>
          </w:p>
        </w:tc>
      </w:tr>
      <w:tr>
        <w:trPr>
          <w:cantSplit/>
        </w:trPr>
        <w:tc>
          <w:tcPr>
            <w:tcW w:type="dxa" w:w="2000"/>
            <w:tcMar>
              <w:top w:w="80" w:type="dxa"/>
              <w:start w:w="120" w:type="dxa"/>
              <w:bottom w:w="80" w:type="dxa"/>
              <w:end w:w="120" w:type="dxa"/>
            </w:tcMar>
            <w:vAlign w:val="center"/>
          </w:tcPr>
          <w:p>
            <w:pPr>
              <w:spacing w:after="40" w:line="252" w:lineRule="auto"/>
            </w:pPr>
            <w:r>
              <w:rPr>
                <w:sz w:val="19"/>
              </w:rPr>
              <w:t>Unauthorized downstream holder</w:t>
            </w:r>
          </w:p>
        </w:tc>
        <w:tc>
          <w:tcPr>
            <w:tcW w:type="dxa" w:w="1500"/>
            <w:tcMar>
              <w:top w:w="80" w:type="dxa"/>
              <w:start w:w="120" w:type="dxa"/>
              <w:bottom w:w="80" w:type="dxa"/>
              <w:end w:w="120" w:type="dxa"/>
            </w:tcMar>
            <w:vAlign w:val="center"/>
          </w:tcPr>
          <w:p>
            <w:pPr>
              <w:spacing w:after="40" w:line="252" w:lineRule="auto"/>
            </w:pPr>
            <w:r>
              <w:rPr>
                <w:sz w:val="19"/>
              </w:rPr>
              <w:t>Low/High</w:t>
            </w:r>
          </w:p>
        </w:tc>
        <w:tc>
          <w:tcPr>
            <w:tcW w:type="dxa" w:w="4300"/>
            <w:tcMar>
              <w:top w:w="80" w:type="dxa"/>
              <w:start w:w="120" w:type="dxa"/>
              <w:bottom w:w="80" w:type="dxa"/>
              <w:end w:w="120" w:type="dxa"/>
            </w:tcMar>
            <w:vAlign w:val="center"/>
          </w:tcPr>
          <w:p>
            <w:pPr>
              <w:spacing w:after="40" w:line="252" w:lineRule="auto"/>
            </w:pPr>
            <w:r>
              <w:rPr>
                <w:sz w:val="19"/>
              </w:rPr>
              <w:t>Due diligence; license verification; chain-of-custody; audit rights</w:t>
            </w:r>
          </w:p>
        </w:tc>
        <w:tc>
          <w:tcPr>
            <w:tcW w:type="dxa" w:w="1560"/>
            <w:tcMar>
              <w:top w:w="80" w:type="dxa"/>
              <w:start w:w="120" w:type="dxa"/>
              <w:bottom w:w="80" w:type="dxa"/>
              <w:end w:w="120" w:type="dxa"/>
            </w:tcMar>
            <w:vAlign w:val="center"/>
          </w:tcPr>
          <w:p>
            <w:pPr>
              <w:spacing w:after="40" w:line="252" w:lineRule="auto"/>
            </w:pPr>
            <w:r>
              <w:rPr>
                <w:sz w:val="19"/>
              </w:rPr>
              <w:t>Manager</w:t>
            </w:r>
          </w:p>
        </w:tc>
      </w:tr>
      <w:tr>
        <w:trPr>
          <w:cantSplit/>
        </w:trPr>
        <w:tc>
          <w:tcPr>
            <w:tcW w:type="dxa" w:w="2000"/>
            <w:tcMar>
              <w:top w:w="80" w:type="dxa"/>
              <w:start w:w="120" w:type="dxa"/>
              <w:bottom w:w="80" w:type="dxa"/>
              <w:end w:w="120" w:type="dxa"/>
            </w:tcMar>
            <w:vAlign w:val="center"/>
            <w:shd w:fill="F8FAFC"/>
          </w:tcPr>
          <w:p>
            <w:pPr>
              <w:spacing w:after="40" w:line="252" w:lineRule="auto"/>
            </w:pPr>
            <w:r>
              <w:rPr>
                <w:sz w:val="19"/>
              </w:rPr>
              <w:t>Public misperception</w:t>
            </w:r>
          </w:p>
        </w:tc>
        <w:tc>
          <w:tcPr>
            <w:tcW w:type="dxa" w:w="1500"/>
            <w:tcMar>
              <w:top w:w="80" w:type="dxa"/>
              <w:start w:w="120" w:type="dxa"/>
              <w:bottom w:w="80" w:type="dxa"/>
              <w:end w:w="120" w:type="dxa"/>
            </w:tcMar>
            <w:vAlign w:val="center"/>
            <w:shd w:fill="F8FAFC"/>
          </w:tcPr>
          <w:p>
            <w:pPr>
              <w:spacing w:after="40" w:line="252" w:lineRule="auto"/>
            </w:pPr>
            <w:r>
              <w:rPr>
                <w:sz w:val="19"/>
              </w:rPr>
              <w:t>Medium/Medium</w:t>
            </w:r>
          </w:p>
        </w:tc>
        <w:tc>
          <w:tcPr>
            <w:tcW w:type="dxa" w:w="4300"/>
            <w:tcMar>
              <w:top w:w="80" w:type="dxa"/>
              <w:start w:w="120" w:type="dxa"/>
              <w:bottom w:w="80" w:type="dxa"/>
              <w:end w:w="120" w:type="dxa"/>
            </w:tcMar>
            <w:vAlign w:val="center"/>
            <w:shd w:fill="F8FAFC"/>
          </w:tcPr>
          <w:p>
            <w:pPr>
              <w:spacing w:after="40" w:line="252" w:lineRule="auto"/>
            </w:pPr>
            <w:r>
              <w:rPr>
                <w:sz w:val="19"/>
              </w:rPr>
              <w:t>Transparent communication; grievance channel; incident-communication protocol</w:t>
            </w:r>
          </w:p>
        </w:tc>
        <w:tc>
          <w:tcPr>
            <w:tcW w:type="dxa" w:w="1560"/>
            <w:tcMar>
              <w:top w:w="80" w:type="dxa"/>
              <w:start w:w="120" w:type="dxa"/>
              <w:bottom w:w="80" w:type="dxa"/>
              <w:end w:w="120" w:type="dxa"/>
            </w:tcMar>
            <w:vAlign w:val="center"/>
            <w:shd w:fill="F8FAFC"/>
          </w:tcPr>
          <w:p>
            <w:pPr>
              <w:spacing w:after="40" w:line="252" w:lineRule="auto"/>
            </w:pPr>
            <w:r>
              <w:rPr>
                <w:sz w:val="19"/>
              </w:rPr>
              <w:t>Communications</w:t>
            </w:r>
          </w:p>
        </w:tc>
      </w:tr>
    </w:tbl>
    <w:p>
      <w:pPr>
        <w:spacing w:after="20"/>
      </w:pPr>
    </w:p>
    <w:p>
      <w:pPr>
        <w:pStyle w:val="Heading1"/>
      </w:pPr>
      <w:r>
        <w:t>14. Environment, Social, and EHS</w:t>
      </w:r>
    </w:p>
    <w:p>
      <w:pPr>
        <w:pStyle w:val="Heading2"/>
      </w:pPr>
      <w:r>
        <w:t>14.1 Minimum Safety Requirements</w:t>
      </w:r>
    </w:p>
    <w:p>
      <w:pPr>
        <w:pStyle w:val="ListBullet"/>
        <w:spacing w:after="80" w:line="290" w:lineRule="auto"/>
      </w:pPr>
      <w:r>
        <w:t>A battery without a completed risk assessment will not be admitted to the main diagnostics zone.</w:t>
      </w:r>
    </w:p>
    <w:p>
      <w:pPr>
        <w:pStyle w:val="ListBullet"/>
        <w:spacing w:after="80" w:line="290" w:lineRule="auto"/>
      </w:pPr>
      <w:r>
        <w:t>Batteries that are damaged, overheating, swollen, or leaking will be immediately flagged and quarantined.</w:t>
      </w:r>
    </w:p>
    <w:p>
      <w:pPr>
        <w:pStyle w:val="ListBullet"/>
        <w:spacing w:after="80" w:line="290" w:lineRule="auto"/>
      </w:pPr>
      <w:r>
        <w:t>High-voltage work will require authorization, lockout-tagout procedures, and a two-person rule.</w:t>
      </w:r>
    </w:p>
    <w:p>
      <w:pPr>
        <w:pStyle w:val="ListBullet"/>
        <w:spacing w:after="80" w:line="290" w:lineRule="auto"/>
      </w:pPr>
      <w:r>
        <w:t>PPE will be selected based on hazard assessment, with fit and usage records maintained.</w:t>
      </w:r>
    </w:p>
    <w:p>
      <w:pPr>
        <w:pStyle w:val="ListBullet"/>
        <w:spacing w:after="80" w:line="290" w:lineRule="auto"/>
      </w:pPr>
      <w:r>
        <w:t>Emergency exits, communications, first aid, and fire response will be coordinated with the relevant authorities.</w:t>
      </w:r>
    </w:p>
    <w:p>
      <w:pPr>
        <w:pStyle w:val="ListBullet"/>
        <w:spacing w:after="80" w:line="290" w:lineRule="auto"/>
      </w:pPr>
      <w:r>
        <w:t>Children and unauthorized persons will not be permitted into the operational area.</w:t>
      </w:r>
    </w:p>
    <w:p>
      <w:pPr>
        <w:pStyle w:val="Heading2"/>
      </w:pPr>
      <w:r>
        <w:t>14.2 Environmental Protection</w:t>
      </w:r>
    </w:p>
    <w:p>
      <w:pPr>
        <w:pStyle w:val="ListBullet"/>
        <w:spacing w:after="80" w:line="290" w:lineRule="auto"/>
      </w:pPr>
      <w:r>
        <w:t>Flooring, storage, and spill-containment solutions will be designed to block pathways for electrolyte and other contamination.</w:t>
      </w:r>
    </w:p>
    <w:p>
      <w:pPr>
        <w:pStyle w:val="ListBullet"/>
        <w:spacing w:after="80" w:line="290" w:lineRule="auto"/>
      </w:pPr>
      <w:r>
        <w:t>Separate records will be kept for batteries, contaminated PPE, spill-response materials, and packaging.</w:t>
      </w:r>
    </w:p>
    <w:p>
      <w:pPr>
        <w:pStyle w:val="ListBullet"/>
        <w:spacing w:after="80" w:line="290" w:lineRule="auto"/>
      </w:pPr>
      <w:r>
        <w:t>Processing that uses water or generates wastewater is outside the scope of the pilot.</w:t>
      </w:r>
    </w:p>
    <w:p>
      <w:pPr>
        <w:pStyle w:val="ListBullet"/>
        <w:spacing w:after="80" w:line="290" w:lineRule="auto"/>
      </w:pPr>
      <w:r>
        <w:t>Transport distances, packaging, and load units will be logged to assess logistics impact.</w:t>
      </w:r>
    </w:p>
    <w:p>
      <w:pPr>
        <w:pStyle w:val="Heading2"/>
      </w:pPr>
      <w:r>
        <w:t>14.3 Social Safeguards and Grievance Resolution</w:t>
      </w:r>
    </w:p>
    <w:p>
      <w:r>
        <w:t>Local residents, staff, and partner organizations will have a confidential channel for raising concerns related to safety, labor, the environment, and information. A procedure for logging grievances, assigning an owner, resolving them within a set timeframe, and retaining evidence of closure will be approved at project start-up.</w:t>
      </w:r>
    </w:p>
    <w:p>
      <w:pPr>
        <w:pStyle w:val="Heading1"/>
      </w:pPr>
      <w:r>
        <w:t>15. Data and Battery Passport Pilot</w:t>
      </w:r>
    </w:p>
    <w:tbl>
      <w:tblPr>
        <w:tblStyle w:val="TableGrid"/>
        <w:tblW w:type="dxa" w:w="9360"/>
        <w:jc w:val="center"/>
        <w:tblLayout w:type="fixed"/>
        <w:tblLook w:firstColumn="1" w:firstRow="1" w:lastColumn="0" w:lastRow="0" w:noHBand="0" w:noVBand="1" w:val="04A0"/>
        <w:tblInd w:w="120" w:type="dxa"/>
      </w:tblPr>
      <w:tblGrid>
        <w:gridCol w:w="2300"/>
        <w:gridCol w:w="7060"/>
      </w:tblGrid>
      <w:tr>
        <w:trPr>
          <w:tblHeader w:val="true"/>
          <w:cantSplit/>
        </w:trPr>
        <w:tc>
          <w:tcPr>
            <w:tcW w:type="dxa" w:w="2300"/>
            <w:tcMar>
              <w:top w:w="80" w:type="dxa"/>
              <w:start w:w="120" w:type="dxa"/>
              <w:bottom w:w="80" w:type="dxa"/>
              <w:end w:w="120" w:type="dxa"/>
            </w:tcMar>
            <w:vAlign w:val="center"/>
            <w:shd w:fill="1F4D78"/>
          </w:tcPr>
          <w:p>
            <w:pPr>
              <w:spacing w:after="40" w:line="252" w:lineRule="auto"/>
            </w:pPr>
            <w:r>
              <w:rPr>
                <w:b/>
                <w:color w:val="FFFFFF"/>
                <w:sz w:val="19"/>
              </w:rPr>
              <w:t>Data Category</w:t>
            </w:r>
          </w:p>
        </w:tc>
        <w:tc>
          <w:tcPr>
            <w:tcW w:type="dxa" w:w="7060"/>
            <w:tcMar>
              <w:top w:w="80" w:type="dxa"/>
              <w:start w:w="120" w:type="dxa"/>
              <w:bottom w:w="80" w:type="dxa"/>
              <w:end w:w="120" w:type="dxa"/>
            </w:tcMar>
            <w:vAlign w:val="center"/>
            <w:shd w:fill="1F4D78"/>
          </w:tcPr>
          <w:p>
            <w:pPr>
              <w:spacing w:after="40" w:line="252" w:lineRule="auto"/>
            </w:pPr>
            <w:r>
              <w:rPr>
                <w:b/>
                <w:color w:val="FFFFFF"/>
                <w:sz w:val="19"/>
              </w:rPr>
              <w:t>Core Fields</w:t>
            </w:r>
          </w:p>
        </w:tc>
      </w:tr>
      <w:tr>
        <w:trPr>
          <w:cantSplit/>
        </w:trPr>
        <w:tc>
          <w:tcPr>
            <w:tcW w:type="dxa" w:w="2300"/>
            <w:tcMar>
              <w:top w:w="80" w:type="dxa"/>
              <w:start w:w="120" w:type="dxa"/>
              <w:bottom w:w="80" w:type="dxa"/>
              <w:end w:w="120" w:type="dxa"/>
            </w:tcMar>
            <w:vAlign w:val="center"/>
          </w:tcPr>
          <w:p>
            <w:pPr>
              <w:spacing w:after="40" w:line="252" w:lineRule="auto"/>
            </w:pPr>
            <w:r>
              <w:rPr>
                <w:sz w:val="19"/>
              </w:rPr>
              <w:t>Identification</w:t>
            </w:r>
          </w:p>
        </w:tc>
        <w:tc>
          <w:tcPr>
            <w:tcW w:type="dxa" w:w="7060"/>
            <w:tcMar>
              <w:top w:w="80" w:type="dxa"/>
              <w:start w:w="120" w:type="dxa"/>
              <w:bottom w:w="80" w:type="dxa"/>
              <w:end w:w="120" w:type="dxa"/>
            </w:tcMar>
            <w:vAlign w:val="center"/>
          </w:tcPr>
          <w:p>
            <w:pPr>
              <w:spacing w:after="40" w:line="252" w:lineRule="auto"/>
            </w:pPr>
            <w:r>
              <w:rPr>
                <w:sz w:val="19"/>
              </w:rPr>
              <w:t>Unique ID, QR code, intake date, source type</w:t>
            </w:r>
          </w:p>
        </w:tc>
      </w:tr>
      <w:tr>
        <w:trPr>
          <w:cantSplit/>
        </w:trPr>
        <w:tc>
          <w:tcPr>
            <w:tcW w:type="dxa" w:w="2300"/>
            <w:tcMar>
              <w:top w:w="80" w:type="dxa"/>
              <w:start w:w="120" w:type="dxa"/>
              <w:bottom w:w="80" w:type="dxa"/>
              <w:end w:w="120" w:type="dxa"/>
            </w:tcMar>
            <w:vAlign w:val="center"/>
            <w:shd w:fill="F8FAFC"/>
          </w:tcPr>
          <w:p>
            <w:pPr>
              <w:spacing w:after="40" w:line="252" w:lineRule="auto"/>
            </w:pPr>
            <w:r>
              <w:rPr>
                <w:sz w:val="19"/>
              </w:rPr>
              <w:t>Physical Data</w:t>
            </w:r>
          </w:p>
        </w:tc>
        <w:tc>
          <w:tcPr>
            <w:tcW w:type="dxa" w:w="7060"/>
            <w:tcMar>
              <w:top w:w="80" w:type="dxa"/>
              <w:start w:w="120" w:type="dxa"/>
              <w:bottom w:w="80" w:type="dxa"/>
              <w:end w:w="120" w:type="dxa"/>
            </w:tcMar>
            <w:vAlign w:val="center"/>
            <w:shd w:fill="F8FAFC"/>
          </w:tcPr>
          <w:p>
            <w:pPr>
              <w:spacing w:after="40" w:line="252" w:lineRule="auto"/>
            </w:pPr>
            <w:r>
              <w:rPr>
                <w:sz w:val="19"/>
              </w:rPr>
              <w:t>Battery type, form factor, weight, manufacturer/model where available</w:t>
            </w:r>
          </w:p>
        </w:tc>
      </w:tr>
      <w:tr>
        <w:trPr>
          <w:cantSplit/>
        </w:trPr>
        <w:tc>
          <w:tcPr>
            <w:tcW w:type="dxa" w:w="2300"/>
            <w:tcMar>
              <w:top w:w="80" w:type="dxa"/>
              <w:start w:w="120" w:type="dxa"/>
              <w:bottom w:w="80" w:type="dxa"/>
              <w:end w:w="120" w:type="dxa"/>
            </w:tcMar>
            <w:vAlign w:val="center"/>
          </w:tcPr>
          <w:p>
            <w:pPr>
              <w:spacing w:after="40" w:line="252" w:lineRule="auto"/>
            </w:pPr>
            <w:r>
              <w:rPr>
                <w:sz w:val="19"/>
              </w:rPr>
              <w:t>Chemical Data</w:t>
            </w:r>
          </w:p>
        </w:tc>
        <w:tc>
          <w:tcPr>
            <w:tcW w:type="dxa" w:w="7060"/>
            <w:tcMar>
              <w:top w:w="80" w:type="dxa"/>
              <w:start w:w="120" w:type="dxa"/>
              <w:bottom w:w="80" w:type="dxa"/>
              <w:end w:w="120" w:type="dxa"/>
            </w:tcMar>
            <w:vAlign w:val="center"/>
          </w:tcPr>
          <w:p>
            <w:pPr>
              <w:spacing w:after="40" w:line="252" w:lineRule="auto"/>
            </w:pPr>
            <w:r>
              <w:rPr>
                <w:sz w:val="19"/>
              </w:rPr>
              <w:t>Chemistry as confirmed by label/documentation; unknown status</w:t>
            </w:r>
          </w:p>
        </w:tc>
      </w:tr>
      <w:tr>
        <w:trPr>
          <w:cantSplit/>
        </w:trPr>
        <w:tc>
          <w:tcPr>
            <w:tcW w:type="dxa" w:w="2300"/>
            <w:tcMar>
              <w:top w:w="80" w:type="dxa"/>
              <w:start w:w="120" w:type="dxa"/>
              <w:bottom w:w="80" w:type="dxa"/>
              <w:end w:w="120" w:type="dxa"/>
            </w:tcMar>
            <w:vAlign w:val="center"/>
            <w:shd w:fill="F8FAFC"/>
          </w:tcPr>
          <w:p>
            <w:pPr>
              <w:spacing w:after="40" w:line="252" w:lineRule="auto"/>
            </w:pPr>
            <w:r>
              <w:rPr>
                <w:sz w:val="19"/>
              </w:rPr>
              <w:t>Hazard Status</w:t>
            </w:r>
          </w:p>
        </w:tc>
        <w:tc>
          <w:tcPr>
            <w:tcW w:type="dxa" w:w="7060"/>
            <w:tcMar>
              <w:top w:w="80" w:type="dxa"/>
              <w:start w:w="120" w:type="dxa"/>
              <w:bottom w:w="80" w:type="dxa"/>
              <w:end w:w="120" w:type="dxa"/>
            </w:tcMar>
            <w:vAlign w:val="center"/>
            <w:shd w:fill="F8FAFC"/>
          </w:tcPr>
          <w:p>
            <w:pPr>
              <w:spacing w:after="40" w:line="252" w:lineRule="auto"/>
            </w:pPr>
            <w:r>
              <w:rPr>
                <w:sz w:val="19"/>
              </w:rPr>
              <w:t>Damage, overheating, swelling, leakage, insulation status</w:t>
            </w:r>
          </w:p>
        </w:tc>
      </w:tr>
      <w:tr>
        <w:trPr>
          <w:cantSplit/>
        </w:trPr>
        <w:tc>
          <w:tcPr>
            <w:tcW w:type="dxa" w:w="2300"/>
            <w:tcMar>
              <w:top w:w="80" w:type="dxa"/>
              <w:start w:w="120" w:type="dxa"/>
              <w:bottom w:w="80" w:type="dxa"/>
              <w:end w:w="120" w:type="dxa"/>
            </w:tcMar>
            <w:vAlign w:val="center"/>
          </w:tcPr>
          <w:p>
            <w:pPr>
              <w:spacing w:after="40" w:line="252" w:lineRule="auto"/>
            </w:pPr>
            <w:r>
              <w:rPr>
                <w:sz w:val="19"/>
              </w:rPr>
              <w:t>Diagnostics</w:t>
            </w:r>
          </w:p>
        </w:tc>
        <w:tc>
          <w:tcPr>
            <w:tcW w:type="dxa" w:w="7060"/>
            <w:tcMar>
              <w:top w:w="80" w:type="dxa"/>
              <w:start w:w="120" w:type="dxa"/>
              <w:bottom w:w="80" w:type="dxa"/>
              <w:end w:w="120" w:type="dxa"/>
            </w:tcMar>
            <w:vAlign w:val="center"/>
          </w:tcPr>
          <w:p>
            <w:pPr>
              <w:spacing w:after="40" w:line="252" w:lineRule="auto"/>
            </w:pPr>
            <w:r>
              <w:rPr>
                <w:sz w:val="19"/>
              </w:rPr>
              <w:t>Voltage, temperature, test method, instrument, calibration, operator, result</w:t>
            </w:r>
          </w:p>
        </w:tc>
      </w:tr>
      <w:tr>
        <w:trPr>
          <w:cantSplit/>
        </w:trPr>
        <w:tc>
          <w:tcPr>
            <w:tcW w:type="dxa" w:w="2300"/>
            <w:tcMar>
              <w:top w:w="80" w:type="dxa"/>
              <w:start w:w="120" w:type="dxa"/>
              <w:bottom w:w="80" w:type="dxa"/>
              <w:end w:w="120" w:type="dxa"/>
            </w:tcMar>
            <w:vAlign w:val="center"/>
            <w:shd w:fill="F8FAFC"/>
          </w:tcPr>
          <w:p>
            <w:pPr>
              <w:spacing w:after="40" w:line="252" w:lineRule="auto"/>
            </w:pPr>
            <w:r>
              <w:rPr>
                <w:sz w:val="19"/>
              </w:rPr>
              <w:t>Decision</w:t>
            </w:r>
          </w:p>
        </w:tc>
        <w:tc>
          <w:tcPr>
            <w:tcW w:type="dxa" w:w="7060"/>
            <w:tcMar>
              <w:top w:w="80" w:type="dxa"/>
              <w:start w:w="120" w:type="dxa"/>
              <w:bottom w:w="80" w:type="dxa"/>
              <w:end w:w="120" w:type="dxa"/>
            </w:tcMar>
            <w:vAlign w:val="center"/>
            <w:shd w:fill="F8FAFC"/>
          </w:tcPr>
          <w:p>
            <w:pPr>
              <w:spacing w:after="40" w:line="252" w:lineRule="auto"/>
            </w:pPr>
            <w:r>
              <w:rPr>
                <w:sz w:val="19"/>
              </w:rPr>
              <w:t>A/B/C/D classification, rationale, person who confirmed</w:t>
            </w:r>
          </w:p>
        </w:tc>
      </w:tr>
      <w:tr>
        <w:trPr>
          <w:cantSplit/>
        </w:trPr>
        <w:tc>
          <w:tcPr>
            <w:tcW w:type="dxa" w:w="2300"/>
            <w:tcMar>
              <w:top w:w="80" w:type="dxa"/>
              <w:start w:w="120" w:type="dxa"/>
              <w:bottom w:w="80" w:type="dxa"/>
              <w:end w:w="120" w:type="dxa"/>
            </w:tcMar>
            <w:vAlign w:val="center"/>
          </w:tcPr>
          <w:p>
            <w:pPr>
              <w:spacing w:after="40" w:line="252" w:lineRule="auto"/>
            </w:pPr>
            <w:r>
              <w:rPr>
                <w:sz w:val="19"/>
              </w:rPr>
              <w:t>Movement</w:t>
            </w:r>
          </w:p>
        </w:tc>
        <w:tc>
          <w:tcPr>
            <w:tcW w:type="dxa" w:w="7060"/>
            <w:tcMar>
              <w:top w:w="80" w:type="dxa"/>
              <w:start w:w="120" w:type="dxa"/>
              <w:bottom w:w="80" w:type="dxa"/>
              <w:end w:w="120" w:type="dxa"/>
            </w:tcMar>
            <w:vAlign w:val="center"/>
          </w:tcPr>
          <w:p>
            <w:pPr>
              <w:spacing w:after="40" w:line="252" w:lineRule="auto"/>
            </w:pPr>
            <w:r>
              <w:rPr>
                <w:sz w:val="19"/>
              </w:rPr>
              <w:t>Storage location, transfer date, recipient, documentation</w:t>
            </w:r>
          </w:p>
        </w:tc>
      </w:tr>
      <w:tr>
        <w:trPr>
          <w:cantSplit/>
        </w:trPr>
        <w:tc>
          <w:tcPr>
            <w:tcW w:type="dxa" w:w="2300"/>
            <w:tcMar>
              <w:top w:w="80" w:type="dxa"/>
              <w:start w:w="120" w:type="dxa"/>
              <w:bottom w:w="80" w:type="dxa"/>
              <w:end w:w="120" w:type="dxa"/>
            </w:tcMar>
            <w:vAlign w:val="center"/>
            <w:shd w:fill="F8FAFC"/>
          </w:tcPr>
          <w:p>
            <w:pPr>
              <w:spacing w:after="40" w:line="252" w:lineRule="auto"/>
            </w:pPr>
            <w:r>
              <w:rPr>
                <w:sz w:val="19"/>
              </w:rPr>
              <w:t>Audit</w:t>
            </w:r>
          </w:p>
        </w:tc>
        <w:tc>
          <w:tcPr>
            <w:tcW w:type="dxa" w:w="7060"/>
            <w:tcMar>
              <w:top w:w="80" w:type="dxa"/>
              <w:start w:w="120" w:type="dxa"/>
              <w:bottom w:w="80" w:type="dxa"/>
              <w:end w:w="120" w:type="dxa"/>
            </w:tcMar>
            <w:vAlign w:val="center"/>
            <w:shd w:fill="F8FAFC"/>
          </w:tcPr>
          <w:p>
            <w:pPr>
              <w:spacing w:after="40" w:line="252" w:lineRule="auto"/>
            </w:pPr>
            <w:r>
              <w:rPr>
                <w:sz w:val="19"/>
              </w:rPr>
              <w:t>User who made the change, date, previous/new value</w:t>
            </w:r>
          </w:p>
        </w:tc>
      </w:tr>
    </w:tbl>
    <w:p>
      <w:pPr>
        <w:spacing w:after="20"/>
      </w:pPr>
    </w:p>
    <w:p>
      <w:r>
        <w:t>The information system will apply data minimization, role-based access, regular backups, a change-history log, defined retention periods, and a deletion procedure. A battery’s QR code will not expose personal or commercially confidential information to the public.</w:t>
      </w:r>
    </w:p>
    <w:p>
      <w:pPr>
        <w:pStyle w:val="Heading1"/>
      </w:pPr>
      <w:r>
        <w:t>16. Communication and Knowledge-Dissemination Plan</w:t>
      </w:r>
    </w:p>
    <w:tbl>
      <w:tblPr>
        <w:tblStyle w:val="TableGrid"/>
        <w:tblW w:type="dxa" w:w="9360"/>
        <w:jc w:val="center"/>
        <w:tblLayout w:type="fixed"/>
        <w:tblLook w:firstColumn="1" w:firstRow="1" w:lastColumn="0" w:lastRow="0" w:noHBand="0" w:noVBand="1" w:val="04A0"/>
        <w:tblInd w:w="120" w:type="dxa"/>
      </w:tblPr>
      <w:tblGrid>
        <w:gridCol w:w="1700"/>
        <w:gridCol w:w="3100"/>
        <w:gridCol w:w="2900"/>
        <w:gridCol w:w="1660"/>
      </w:tblGrid>
      <w:tr>
        <w:trPr>
          <w:tblHeader w:val="true"/>
          <w:cantSplit/>
        </w:trPr>
        <w:tc>
          <w:tcPr>
            <w:tcW w:type="dxa" w:w="1700"/>
            <w:tcMar>
              <w:top w:w="80" w:type="dxa"/>
              <w:start w:w="120" w:type="dxa"/>
              <w:bottom w:w="80" w:type="dxa"/>
              <w:end w:w="120" w:type="dxa"/>
            </w:tcMar>
            <w:vAlign w:val="center"/>
            <w:shd w:fill="1F4D78"/>
          </w:tcPr>
          <w:p>
            <w:pPr>
              <w:spacing w:after="40" w:line="252" w:lineRule="auto"/>
            </w:pPr>
            <w:r>
              <w:rPr>
                <w:b/>
                <w:color w:val="FFFFFF"/>
                <w:sz w:val="19"/>
              </w:rPr>
              <w:t>Target Group</w:t>
            </w:r>
          </w:p>
        </w:tc>
        <w:tc>
          <w:tcPr>
            <w:tcW w:type="dxa" w:w="3100"/>
            <w:tcMar>
              <w:top w:w="80" w:type="dxa"/>
              <w:start w:w="120" w:type="dxa"/>
              <w:bottom w:w="80" w:type="dxa"/>
              <w:end w:w="120" w:type="dxa"/>
            </w:tcMar>
            <w:vAlign w:val="center"/>
            <w:shd w:fill="1F4D78"/>
          </w:tcPr>
          <w:p>
            <w:pPr>
              <w:spacing w:after="40" w:line="252" w:lineRule="auto"/>
            </w:pPr>
            <w:r>
              <w:rPr>
                <w:b/>
                <w:color w:val="FFFFFF"/>
                <w:sz w:val="19"/>
              </w:rPr>
              <w:t>Key Message</w:t>
            </w:r>
          </w:p>
        </w:tc>
        <w:tc>
          <w:tcPr>
            <w:tcW w:type="dxa" w:w="2900"/>
            <w:tcMar>
              <w:top w:w="80" w:type="dxa"/>
              <w:start w:w="120" w:type="dxa"/>
              <w:bottom w:w="80" w:type="dxa"/>
              <w:end w:w="120" w:type="dxa"/>
            </w:tcMar>
            <w:vAlign w:val="center"/>
            <w:shd w:fill="1F4D78"/>
          </w:tcPr>
          <w:p>
            <w:pPr>
              <w:spacing w:after="40" w:line="252" w:lineRule="auto"/>
            </w:pPr>
            <w:r>
              <w:rPr>
                <w:b/>
                <w:color w:val="FFFFFF"/>
                <w:sz w:val="19"/>
              </w:rPr>
              <w:t>Channel/Product</w:t>
            </w:r>
          </w:p>
        </w:tc>
        <w:tc>
          <w:tcPr>
            <w:tcW w:type="dxa" w:w="1660"/>
            <w:tcMar>
              <w:top w:w="80" w:type="dxa"/>
              <w:start w:w="120" w:type="dxa"/>
              <w:bottom w:w="80" w:type="dxa"/>
              <w:end w:w="120" w:type="dxa"/>
            </w:tcMar>
            <w:vAlign w:val="center"/>
            <w:shd w:fill="1F4D78"/>
          </w:tcPr>
          <w:p>
            <w:pPr>
              <w:spacing w:after="40" w:line="252" w:lineRule="auto"/>
            </w:pPr>
            <w:r>
              <w:rPr>
                <w:b/>
                <w:color w:val="FFFFFF"/>
                <w:sz w:val="19"/>
              </w:rPr>
              <w:t>Frequency</w:t>
            </w:r>
          </w:p>
        </w:tc>
      </w:tr>
      <w:tr>
        <w:trPr>
          <w:cantSplit/>
        </w:trPr>
        <w:tc>
          <w:tcPr>
            <w:tcW w:type="dxa" w:w="1700"/>
            <w:tcMar>
              <w:top w:w="80" w:type="dxa"/>
              <w:start w:w="120" w:type="dxa"/>
              <w:bottom w:w="80" w:type="dxa"/>
              <w:end w:w="120" w:type="dxa"/>
            </w:tcMar>
            <w:vAlign w:val="center"/>
          </w:tcPr>
          <w:p>
            <w:pPr>
              <w:spacing w:after="40" w:line="252" w:lineRule="auto"/>
            </w:pPr>
            <w:r>
              <w:rPr>
                <w:sz w:val="19"/>
              </w:rPr>
              <w:t>Citizens</w:t>
            </w:r>
          </w:p>
        </w:tc>
        <w:tc>
          <w:tcPr>
            <w:tcW w:type="dxa" w:w="3100"/>
            <w:tcMar>
              <w:top w:w="80" w:type="dxa"/>
              <w:start w:w="120" w:type="dxa"/>
              <w:bottom w:w="80" w:type="dxa"/>
              <w:end w:w="120" w:type="dxa"/>
            </w:tcMar>
            <w:vAlign w:val="center"/>
          </w:tcPr>
          <w:p>
            <w:pPr>
              <w:spacing w:after="40" w:line="252" w:lineRule="auto"/>
            </w:pPr>
            <w:r>
              <w:rPr>
                <w:sz w:val="19"/>
              </w:rPr>
              <w:t>Don’t put batteries in ordinary trash; don’t tamper with a damaged battery</w:t>
            </w:r>
          </w:p>
        </w:tc>
        <w:tc>
          <w:tcPr>
            <w:tcW w:type="dxa" w:w="2900"/>
            <w:tcMar>
              <w:top w:w="80" w:type="dxa"/>
              <w:start w:w="120" w:type="dxa"/>
              <w:bottom w:w="80" w:type="dxa"/>
              <w:end w:w="120" w:type="dxa"/>
            </w:tcMar>
            <w:vAlign w:val="center"/>
          </w:tcPr>
          <w:p>
            <w:pPr>
              <w:spacing w:after="40" w:line="252" w:lineRule="auto"/>
            </w:pPr>
            <w:r>
              <w:rPr>
                <w:sz w:val="19"/>
              </w:rPr>
              <w:t>Infographics, social media, hand-over instructions</w:t>
            </w:r>
          </w:p>
        </w:tc>
        <w:tc>
          <w:tcPr>
            <w:tcW w:type="dxa" w:w="1660"/>
            <w:tcMar>
              <w:top w:w="80" w:type="dxa"/>
              <w:start w:w="120" w:type="dxa"/>
              <w:bottom w:w="80" w:type="dxa"/>
              <w:end w:w="120" w:type="dxa"/>
            </w:tcMar>
            <w:vAlign w:val="center"/>
          </w:tcPr>
          <w:p>
            <w:pPr>
              <w:spacing w:after="40" w:line="252" w:lineRule="auto"/>
            </w:pPr>
            <w:r>
              <w:rPr>
                <w:sz w:val="19"/>
              </w:rPr>
              <w:t>Throughout the pilot</w:t>
            </w:r>
          </w:p>
        </w:tc>
      </w:tr>
      <w:tr>
        <w:trPr>
          <w:cantSplit/>
        </w:trPr>
        <w:tc>
          <w:tcPr>
            <w:tcW w:type="dxa" w:w="1700"/>
            <w:tcMar>
              <w:top w:w="80" w:type="dxa"/>
              <w:start w:w="120" w:type="dxa"/>
              <w:bottom w:w="80" w:type="dxa"/>
              <w:end w:w="120" w:type="dxa"/>
            </w:tcMar>
            <w:vAlign w:val="center"/>
            <w:shd w:fill="F8FAFC"/>
          </w:tcPr>
          <w:p>
            <w:pPr>
              <w:spacing w:after="40" w:line="252" w:lineRule="auto"/>
            </w:pPr>
            <w:r>
              <w:rPr>
                <w:sz w:val="19"/>
              </w:rPr>
              <w:t>Importers/Service providers</w:t>
            </w:r>
          </w:p>
        </w:tc>
        <w:tc>
          <w:tcPr>
            <w:tcW w:type="dxa" w:w="3100"/>
            <w:tcMar>
              <w:top w:w="80" w:type="dxa"/>
              <w:start w:w="120" w:type="dxa"/>
              <w:bottom w:w="80" w:type="dxa"/>
              <w:end w:w="120" w:type="dxa"/>
            </w:tcMar>
            <w:vAlign w:val="center"/>
            <w:shd w:fill="F8FAFC"/>
          </w:tcPr>
          <w:p>
            <w:pPr>
              <w:spacing w:after="40" w:line="252" w:lineRule="auto"/>
            </w:pPr>
            <w:r>
              <w:rPr>
                <w:sz w:val="19"/>
              </w:rPr>
              <w:t>Advance notification, packaging, and transfer requirements</w:t>
            </w:r>
          </w:p>
        </w:tc>
        <w:tc>
          <w:tcPr>
            <w:tcW w:type="dxa" w:w="2900"/>
            <w:tcMar>
              <w:top w:w="80" w:type="dxa"/>
              <w:start w:w="120" w:type="dxa"/>
              <w:bottom w:w="80" w:type="dxa"/>
              <w:end w:w="120" w:type="dxa"/>
            </w:tcMar>
            <w:vAlign w:val="center"/>
            <w:shd w:fill="F8FAFC"/>
          </w:tcPr>
          <w:p>
            <w:pPr>
              <w:spacing w:after="40" w:line="252" w:lineRule="auto"/>
            </w:pPr>
            <w:r>
              <w:rPr>
                <w:sz w:val="19"/>
              </w:rPr>
              <w:t>Training, checklists, contracts</w:t>
            </w:r>
          </w:p>
        </w:tc>
        <w:tc>
          <w:tcPr>
            <w:tcW w:type="dxa" w:w="1660"/>
            <w:tcMar>
              <w:top w:w="80" w:type="dxa"/>
              <w:start w:w="120" w:type="dxa"/>
              <w:bottom w:w="80" w:type="dxa"/>
              <w:end w:w="120" w:type="dxa"/>
            </w:tcMar>
            <w:vAlign w:val="center"/>
            <w:shd w:fill="F8FAFC"/>
          </w:tcPr>
          <w:p>
            <w:pPr>
              <w:spacing w:after="40" w:line="252" w:lineRule="auto"/>
            </w:pPr>
            <w:r>
              <w:rPr>
                <w:sz w:val="19"/>
              </w:rPr>
              <w:t>Kick-off + quarterly</w:t>
            </w:r>
          </w:p>
        </w:tc>
      </w:tr>
      <w:tr>
        <w:trPr>
          <w:cantSplit/>
        </w:trPr>
        <w:tc>
          <w:tcPr>
            <w:tcW w:type="dxa" w:w="1700"/>
            <w:tcMar>
              <w:top w:w="80" w:type="dxa"/>
              <w:start w:w="120" w:type="dxa"/>
              <w:bottom w:w="80" w:type="dxa"/>
              <w:end w:w="120" w:type="dxa"/>
            </w:tcMar>
            <w:vAlign w:val="center"/>
          </w:tcPr>
          <w:p>
            <w:pPr>
              <w:spacing w:after="40" w:line="252" w:lineRule="auto"/>
            </w:pPr>
            <w:r>
              <w:rPr>
                <w:sz w:val="19"/>
              </w:rPr>
              <w:t>Government agencies</w:t>
            </w:r>
          </w:p>
        </w:tc>
        <w:tc>
          <w:tcPr>
            <w:tcW w:type="dxa" w:w="3100"/>
            <w:tcMar>
              <w:top w:w="80" w:type="dxa"/>
              <w:start w:w="120" w:type="dxa"/>
              <w:bottom w:w="80" w:type="dxa"/>
              <w:end w:w="120" w:type="dxa"/>
            </w:tcMar>
            <w:vAlign w:val="center"/>
          </w:tcPr>
          <w:p>
            <w:pPr>
              <w:spacing w:after="40" w:line="252" w:lineRule="auto"/>
            </w:pPr>
            <w:r>
              <w:rPr>
                <w:sz w:val="19"/>
              </w:rPr>
              <w:t>Flow data, risk, regulatory evidence</w:t>
            </w:r>
          </w:p>
        </w:tc>
        <w:tc>
          <w:tcPr>
            <w:tcW w:type="dxa" w:w="2900"/>
            <w:tcMar>
              <w:top w:w="80" w:type="dxa"/>
              <w:start w:w="120" w:type="dxa"/>
              <w:bottom w:w="80" w:type="dxa"/>
              <w:end w:w="120" w:type="dxa"/>
            </w:tcMar>
            <w:vAlign w:val="center"/>
          </w:tcPr>
          <w:p>
            <w:pPr>
              <w:spacing w:after="40" w:line="252" w:lineRule="auto"/>
            </w:pPr>
            <w:r>
              <w:rPr>
                <w:sz w:val="19"/>
              </w:rPr>
              <w:t>KPI reports, technical meetings</w:t>
            </w:r>
          </w:p>
        </w:tc>
        <w:tc>
          <w:tcPr>
            <w:tcW w:type="dxa" w:w="1660"/>
            <w:tcMar>
              <w:top w:w="80" w:type="dxa"/>
              <w:start w:w="120" w:type="dxa"/>
              <w:bottom w:w="80" w:type="dxa"/>
              <w:end w:w="120" w:type="dxa"/>
            </w:tcMar>
            <w:vAlign w:val="center"/>
          </w:tcPr>
          <w:p>
            <w:pPr>
              <w:spacing w:after="40" w:line="252" w:lineRule="auto"/>
            </w:pPr>
            <w:r>
              <w:rPr>
                <w:sz w:val="19"/>
              </w:rPr>
              <w:t>Quarterly</w:t>
            </w:r>
          </w:p>
        </w:tc>
      </w:tr>
      <w:tr>
        <w:trPr>
          <w:cantSplit/>
        </w:trPr>
        <w:tc>
          <w:tcPr>
            <w:tcW w:type="dxa" w:w="1700"/>
            <w:tcMar>
              <w:top w:w="80" w:type="dxa"/>
              <w:start w:w="120" w:type="dxa"/>
              <w:bottom w:w="80" w:type="dxa"/>
              <w:end w:w="120" w:type="dxa"/>
            </w:tcMar>
            <w:vAlign w:val="center"/>
            <w:shd w:fill="F8FAFC"/>
          </w:tcPr>
          <w:p>
            <w:pPr>
              <w:spacing w:after="40" w:line="252" w:lineRule="auto"/>
            </w:pPr>
            <w:r>
              <w:rPr>
                <w:sz w:val="19"/>
              </w:rPr>
              <w:t>Professional community</w:t>
            </w:r>
          </w:p>
        </w:tc>
        <w:tc>
          <w:tcPr>
            <w:tcW w:type="dxa" w:w="3100"/>
            <w:tcMar>
              <w:top w:w="80" w:type="dxa"/>
              <w:start w:w="120" w:type="dxa"/>
              <w:bottom w:w="80" w:type="dxa"/>
              <w:end w:w="120" w:type="dxa"/>
            </w:tcMar>
            <w:vAlign w:val="center"/>
            <w:shd w:fill="F8FAFC"/>
          </w:tcPr>
          <w:p>
            <w:pPr>
              <w:spacing w:after="40" w:line="252" w:lineRule="auto"/>
            </w:pPr>
            <w:r>
              <w:rPr>
                <w:sz w:val="19"/>
              </w:rPr>
              <w:t>Methodology, lessons learned, further research</w:t>
            </w:r>
          </w:p>
        </w:tc>
        <w:tc>
          <w:tcPr>
            <w:tcW w:type="dxa" w:w="2900"/>
            <w:tcMar>
              <w:top w:w="80" w:type="dxa"/>
              <w:start w:w="120" w:type="dxa"/>
              <w:bottom w:w="80" w:type="dxa"/>
              <w:end w:w="120" w:type="dxa"/>
            </w:tcMar>
            <w:vAlign w:val="center"/>
            <w:shd w:fill="F8FAFC"/>
          </w:tcPr>
          <w:p>
            <w:pPr>
              <w:spacing w:after="40" w:line="252" w:lineRule="auto"/>
            </w:pPr>
            <w:r>
              <w:rPr>
                <w:sz w:val="19"/>
              </w:rPr>
              <w:t>Technical seminars, briefs</w:t>
            </w:r>
          </w:p>
        </w:tc>
        <w:tc>
          <w:tcPr>
            <w:tcW w:type="dxa" w:w="1660"/>
            <w:tcMar>
              <w:top w:w="80" w:type="dxa"/>
              <w:start w:w="120" w:type="dxa"/>
              <w:bottom w:w="80" w:type="dxa"/>
              <w:end w:w="120" w:type="dxa"/>
            </w:tcMar>
            <w:vAlign w:val="center"/>
            <w:shd w:fill="F8FAFC"/>
          </w:tcPr>
          <w:p>
            <w:pPr>
              <w:spacing w:after="40" w:line="252" w:lineRule="auto"/>
            </w:pPr>
            <w:r>
              <w:rPr>
                <w:sz w:val="19"/>
              </w:rPr>
              <w:t>Semi-annual</w:t>
            </w:r>
          </w:p>
        </w:tc>
      </w:tr>
      <w:tr>
        <w:trPr>
          <w:cantSplit/>
        </w:trPr>
        <w:tc>
          <w:tcPr>
            <w:tcW w:type="dxa" w:w="1700"/>
            <w:tcMar>
              <w:top w:w="80" w:type="dxa"/>
              <w:start w:w="120" w:type="dxa"/>
              <w:bottom w:w="80" w:type="dxa"/>
              <w:end w:w="120" w:type="dxa"/>
            </w:tcMar>
            <w:vAlign w:val="center"/>
          </w:tcPr>
          <w:p>
            <w:pPr>
              <w:spacing w:after="40" w:line="252" w:lineRule="auto"/>
            </w:pPr>
            <w:r>
              <w:rPr>
                <w:sz w:val="19"/>
              </w:rPr>
              <w:t>Donors/Partners</w:t>
            </w:r>
          </w:p>
        </w:tc>
        <w:tc>
          <w:tcPr>
            <w:tcW w:type="dxa" w:w="3100"/>
            <w:tcMar>
              <w:top w:w="80" w:type="dxa"/>
              <w:start w:w="120" w:type="dxa"/>
              <w:bottom w:w="80" w:type="dxa"/>
              <w:end w:w="120" w:type="dxa"/>
            </w:tcMar>
            <w:vAlign w:val="center"/>
          </w:tcPr>
          <w:p>
            <w:pPr>
              <w:spacing w:after="40" w:line="252" w:lineRule="auto"/>
            </w:pPr>
            <w:r>
              <w:rPr>
                <w:sz w:val="19"/>
              </w:rPr>
              <w:t>Progress, budget, risk, results</w:t>
            </w:r>
          </w:p>
        </w:tc>
        <w:tc>
          <w:tcPr>
            <w:tcW w:type="dxa" w:w="2900"/>
            <w:tcMar>
              <w:top w:w="80" w:type="dxa"/>
              <w:start w:w="120" w:type="dxa"/>
              <w:bottom w:w="80" w:type="dxa"/>
              <w:end w:w="120" w:type="dxa"/>
            </w:tcMar>
            <w:vAlign w:val="center"/>
          </w:tcPr>
          <w:p>
            <w:pPr>
              <w:spacing w:after="40" w:line="252" w:lineRule="auto"/>
            </w:pPr>
            <w:r>
              <w:rPr>
                <w:sz w:val="19"/>
              </w:rPr>
              <w:t>Progress and final reports</w:t>
            </w:r>
          </w:p>
        </w:tc>
        <w:tc>
          <w:tcPr>
            <w:tcW w:type="dxa" w:w="1660"/>
            <w:tcMar>
              <w:top w:w="80" w:type="dxa"/>
              <w:start w:w="120" w:type="dxa"/>
              <w:bottom w:w="80" w:type="dxa"/>
              <w:end w:w="120" w:type="dxa"/>
            </w:tcMar>
            <w:vAlign w:val="center"/>
          </w:tcPr>
          <w:p>
            <w:pPr>
              <w:spacing w:after="40" w:line="252" w:lineRule="auto"/>
            </w:pPr>
            <w:r>
              <w:rPr>
                <w:sz w:val="19"/>
              </w:rPr>
              <w:t>Per contract</w:t>
            </w:r>
          </w:p>
        </w:tc>
      </w:tr>
    </w:tbl>
    <w:p>
      <w:pPr>
        <w:spacing w:after="20"/>
      </w:pPr>
    </w:p>
    <w:p>
      <w:pPr>
        <w:pStyle w:val="Heading1"/>
      </w:pPr>
      <w:r>
        <w:t>17. Sustainability and Scale-up Pathway</w:t>
      </w:r>
    </w:p>
    <w:p>
      <w:r>
        <w:t>Post-pilot sustainability will be planned so as not to depend solely on project grant funding. The financial model will assess revenue sources — including importer/EPR fees, diagnostic services, partnership agreements, training, research services, and income from approved material flows — subject to legal and market review.</w:t>
      </w:r>
    </w:p>
    <w:tbl>
      <w:tblPr>
        <w:tblStyle w:val="TableGrid"/>
        <w:tblW w:type="dxa" w:w="9360"/>
        <w:jc w:val="center"/>
        <w:tblLayout w:type="fixed"/>
        <w:tblLook w:firstColumn="1" w:firstRow="1" w:lastColumn="0" w:lastRow="0" w:noHBand="0" w:noVBand="1" w:val="04A0"/>
        <w:tblInd w:w="120" w:type="dxa"/>
      </w:tblPr>
      <w:tblGrid>
        <w:gridCol w:w="1700"/>
        <w:gridCol w:w="4000"/>
        <w:gridCol w:w="3660"/>
      </w:tblGrid>
      <w:tr>
        <w:trPr>
          <w:tblHeader w:val="true"/>
          <w:cantSplit/>
        </w:trPr>
        <w:tc>
          <w:tcPr>
            <w:tcW w:type="dxa" w:w="1700"/>
            <w:tcMar>
              <w:top w:w="80" w:type="dxa"/>
              <w:start w:w="120" w:type="dxa"/>
              <w:bottom w:w="80" w:type="dxa"/>
              <w:end w:w="120" w:type="dxa"/>
            </w:tcMar>
            <w:vAlign w:val="center"/>
            <w:shd w:fill="1F4D78"/>
          </w:tcPr>
          <w:p>
            <w:pPr>
              <w:spacing w:after="40" w:line="252" w:lineRule="auto"/>
            </w:pPr>
            <w:r>
              <w:rPr>
                <w:b/>
                <w:color w:val="FFFFFF"/>
                <w:sz w:val="19"/>
              </w:rPr>
              <w:t>Stage</w:t>
            </w:r>
          </w:p>
        </w:tc>
        <w:tc>
          <w:tcPr>
            <w:tcW w:type="dxa" w:w="4000"/>
            <w:tcMar>
              <w:top w:w="80" w:type="dxa"/>
              <w:start w:w="120" w:type="dxa"/>
              <w:bottom w:w="80" w:type="dxa"/>
              <w:end w:w="120" w:type="dxa"/>
            </w:tcMar>
            <w:vAlign w:val="center"/>
            <w:shd w:fill="1F4D78"/>
          </w:tcPr>
          <w:p>
            <w:pPr>
              <w:spacing w:after="40" w:line="252" w:lineRule="auto"/>
            </w:pPr>
            <w:r>
              <w:rPr>
                <w:b/>
                <w:color w:val="FFFFFF"/>
                <w:sz w:val="19"/>
              </w:rPr>
              <w:t>Condition</w:t>
            </w:r>
          </w:p>
        </w:tc>
        <w:tc>
          <w:tcPr>
            <w:tcW w:type="dxa" w:w="3660"/>
            <w:tcMar>
              <w:top w:w="80" w:type="dxa"/>
              <w:start w:w="120" w:type="dxa"/>
              <w:bottom w:w="80" w:type="dxa"/>
              <w:end w:w="120" w:type="dxa"/>
            </w:tcMar>
            <w:vAlign w:val="center"/>
            <w:shd w:fill="1F4D78"/>
          </w:tcPr>
          <w:p>
            <w:pPr>
              <w:spacing w:after="40" w:line="252" w:lineRule="auto"/>
            </w:pPr>
            <w:r>
              <w:rPr>
                <w:b/>
                <w:color w:val="FFFFFF"/>
                <w:sz w:val="19"/>
              </w:rPr>
              <w:t>Key Decision</w:t>
            </w:r>
          </w:p>
        </w:tc>
      </w:tr>
      <w:tr>
        <w:trPr>
          <w:cantSplit/>
        </w:trPr>
        <w:tc>
          <w:tcPr>
            <w:tcW w:type="dxa" w:w="1700"/>
            <w:tcMar>
              <w:top w:w="80" w:type="dxa"/>
              <w:start w:w="120" w:type="dxa"/>
              <w:bottom w:w="80" w:type="dxa"/>
              <w:end w:w="120" w:type="dxa"/>
            </w:tcMar>
            <w:vAlign w:val="center"/>
          </w:tcPr>
          <w:p>
            <w:pPr>
              <w:spacing w:after="40" w:line="252" w:lineRule="auto"/>
            </w:pPr>
            <w:r>
              <w:rPr>
                <w:sz w:val="19"/>
              </w:rPr>
              <w:t>0. Preparation</w:t>
            </w:r>
          </w:p>
        </w:tc>
        <w:tc>
          <w:tcPr>
            <w:tcW w:type="dxa" w:w="4000"/>
            <w:tcMar>
              <w:top w:w="80" w:type="dxa"/>
              <w:start w:w="120" w:type="dxa"/>
              <w:bottom w:w="80" w:type="dxa"/>
              <w:end w:w="120" w:type="dxa"/>
            </w:tcMar>
            <w:vAlign w:val="center"/>
          </w:tcPr>
          <w:p>
            <w:pPr>
              <w:spacing w:after="40" w:line="252" w:lineRule="auto"/>
            </w:pPr>
            <w:r>
              <w:rPr>
                <w:sz w:val="19"/>
              </w:rPr>
              <w:t>Permits, partners, site, financing</w:t>
            </w:r>
          </w:p>
        </w:tc>
        <w:tc>
          <w:tcPr>
            <w:tcW w:type="dxa" w:w="3660"/>
            <w:tcMar>
              <w:top w:w="80" w:type="dxa"/>
              <w:start w:w="120" w:type="dxa"/>
              <w:bottom w:w="80" w:type="dxa"/>
              <w:end w:w="120" w:type="dxa"/>
            </w:tcMar>
            <w:vAlign w:val="center"/>
          </w:tcPr>
          <w:p>
            <w:pPr>
              <w:spacing w:after="40" w:line="252" w:lineRule="auto"/>
            </w:pPr>
            <w:r>
              <w:rPr>
                <w:sz w:val="19"/>
              </w:rPr>
              <w:t>Go/No-Go</w:t>
            </w:r>
          </w:p>
        </w:tc>
      </w:tr>
      <w:tr>
        <w:trPr>
          <w:cantSplit/>
        </w:trPr>
        <w:tc>
          <w:tcPr>
            <w:tcW w:type="dxa" w:w="1700"/>
            <w:tcMar>
              <w:top w:w="80" w:type="dxa"/>
              <w:start w:w="120" w:type="dxa"/>
              <w:bottom w:w="80" w:type="dxa"/>
              <w:end w:w="120" w:type="dxa"/>
            </w:tcMar>
            <w:vAlign w:val="center"/>
            <w:shd w:fill="F8FAFC"/>
          </w:tcPr>
          <w:p>
            <w:pPr>
              <w:spacing w:after="40" w:line="252" w:lineRule="auto"/>
            </w:pPr>
            <w:r>
              <w:rPr>
                <w:sz w:val="19"/>
              </w:rPr>
              <w:t>1. Pilot Center</w:t>
            </w:r>
          </w:p>
        </w:tc>
        <w:tc>
          <w:tcPr>
            <w:tcW w:type="dxa" w:w="4000"/>
            <w:tcMar>
              <w:top w:w="80" w:type="dxa"/>
              <w:start w:w="120" w:type="dxa"/>
              <w:bottom w:w="80" w:type="dxa"/>
              <w:end w:w="120" w:type="dxa"/>
            </w:tcMar>
            <w:vAlign w:val="center"/>
            <w:shd w:fill="F8FAFC"/>
          </w:tcPr>
          <w:p>
            <w:pPr>
              <w:spacing w:after="40" w:line="252" w:lineRule="auto"/>
            </w:pPr>
            <w:r>
              <w:rPr>
                <w:sz w:val="19"/>
              </w:rPr>
              <w:t>18 months of safety performance and data</w:t>
            </w:r>
          </w:p>
        </w:tc>
        <w:tc>
          <w:tcPr>
            <w:tcW w:type="dxa" w:w="3660"/>
            <w:tcMar>
              <w:top w:w="80" w:type="dxa"/>
              <w:start w:w="120" w:type="dxa"/>
              <w:bottom w:w="80" w:type="dxa"/>
              <w:end w:w="120" w:type="dxa"/>
            </w:tcMar>
            <w:vAlign w:val="center"/>
            <w:shd w:fill="F8FAFC"/>
          </w:tcPr>
          <w:p>
            <w:pPr>
              <w:spacing w:after="40" w:line="252" w:lineRule="auto"/>
            </w:pPr>
            <w:r>
              <w:rPr>
                <w:sz w:val="19"/>
              </w:rPr>
              <w:t>Approve service model</w:t>
            </w:r>
          </w:p>
        </w:tc>
      </w:tr>
      <w:tr>
        <w:trPr>
          <w:cantSplit/>
        </w:trPr>
        <w:tc>
          <w:tcPr>
            <w:tcW w:type="dxa" w:w="1700"/>
            <w:tcMar>
              <w:top w:w="80" w:type="dxa"/>
              <w:start w:w="120" w:type="dxa"/>
              <w:bottom w:w="80" w:type="dxa"/>
              <w:end w:w="120" w:type="dxa"/>
            </w:tcMar>
            <w:vAlign w:val="center"/>
          </w:tcPr>
          <w:p>
            <w:pPr>
              <w:spacing w:after="40" w:line="252" w:lineRule="auto"/>
            </w:pPr>
            <w:r>
              <w:rPr>
                <w:sz w:val="19"/>
              </w:rPr>
              <w:t>2. Network Expansion</w:t>
            </w:r>
          </w:p>
        </w:tc>
        <w:tc>
          <w:tcPr>
            <w:tcW w:type="dxa" w:w="4000"/>
            <w:tcMar>
              <w:top w:w="80" w:type="dxa"/>
              <w:start w:w="120" w:type="dxa"/>
              <w:bottom w:w="80" w:type="dxa"/>
              <w:end w:w="120" w:type="dxa"/>
            </w:tcMar>
            <w:vAlign w:val="center"/>
          </w:tcPr>
          <w:p>
            <w:pPr>
              <w:spacing w:after="40" w:line="252" w:lineRule="auto"/>
            </w:pPr>
            <w:r>
              <w:rPr>
                <w:sz w:val="19"/>
              </w:rPr>
              <w:t>Stable flow, unit costs, partner performance</w:t>
            </w:r>
          </w:p>
        </w:tc>
        <w:tc>
          <w:tcPr>
            <w:tcW w:type="dxa" w:w="3660"/>
            <w:tcMar>
              <w:top w:w="80" w:type="dxa"/>
              <w:start w:w="120" w:type="dxa"/>
              <w:bottom w:w="80" w:type="dxa"/>
              <w:end w:w="120" w:type="dxa"/>
            </w:tcMar>
            <w:vAlign w:val="center"/>
          </w:tcPr>
          <w:p>
            <w:pPr>
              <w:spacing w:after="40" w:line="252" w:lineRule="auto"/>
            </w:pPr>
            <w:r>
              <w:rPr>
                <w:sz w:val="19"/>
              </w:rPr>
              <w:t>Add regional points/capacity</w:t>
            </w:r>
          </w:p>
        </w:tc>
      </w:tr>
      <w:tr>
        <w:trPr>
          <w:cantSplit/>
        </w:trPr>
        <w:tc>
          <w:tcPr>
            <w:tcW w:type="dxa" w:w="1700"/>
            <w:tcMar>
              <w:top w:w="80" w:type="dxa"/>
              <w:start w:w="120" w:type="dxa"/>
              <w:bottom w:w="80" w:type="dxa"/>
              <w:end w:w="120" w:type="dxa"/>
            </w:tcMar>
            <w:vAlign w:val="center"/>
            <w:shd w:fill="F8FAFC"/>
          </w:tcPr>
          <w:p>
            <w:pPr>
              <w:spacing w:after="40" w:line="252" w:lineRule="auto"/>
            </w:pPr>
            <w:r>
              <w:rPr>
                <w:sz w:val="19"/>
              </w:rPr>
              <w:t>3. Pre-processing Assessment</w:t>
            </w:r>
          </w:p>
        </w:tc>
        <w:tc>
          <w:tcPr>
            <w:tcW w:type="dxa" w:w="4000"/>
            <w:tcMar>
              <w:top w:w="80" w:type="dxa"/>
              <w:start w:w="120" w:type="dxa"/>
              <w:bottom w:w="80" w:type="dxa"/>
              <w:end w:w="120" w:type="dxa"/>
            </w:tcMar>
            <w:vAlign w:val="center"/>
            <w:shd w:fill="F8FAFC"/>
          </w:tcPr>
          <w:p>
            <w:pPr>
              <w:spacing w:after="40" w:line="252" w:lineRule="auto"/>
            </w:pPr>
            <w:r>
              <w:rPr>
                <w:sz w:val="19"/>
              </w:rPr>
              <w:t>Sufficient volume, permits, market, proven safe technology</w:t>
            </w:r>
          </w:p>
        </w:tc>
        <w:tc>
          <w:tcPr>
            <w:tcW w:type="dxa" w:w="3660"/>
            <w:tcMar>
              <w:top w:w="80" w:type="dxa"/>
              <w:start w:w="120" w:type="dxa"/>
              <w:bottom w:w="80" w:type="dxa"/>
              <w:end w:w="120" w:type="dxa"/>
            </w:tcMar>
            <w:vAlign w:val="center"/>
            <w:shd w:fill="F8FAFC"/>
          </w:tcPr>
          <w:p>
            <w:pPr>
              <w:spacing w:after="40" w:line="252" w:lineRule="auto"/>
            </w:pPr>
            <w:r>
              <w:rPr>
                <w:sz w:val="19"/>
              </w:rPr>
              <w:t>Modular pre-processing</w:t>
            </w:r>
          </w:p>
        </w:tc>
      </w:tr>
      <w:tr>
        <w:trPr>
          <w:cantSplit/>
        </w:trPr>
        <w:tc>
          <w:tcPr>
            <w:tcW w:type="dxa" w:w="1700"/>
            <w:tcMar>
              <w:top w:w="80" w:type="dxa"/>
              <w:start w:w="120" w:type="dxa"/>
              <w:bottom w:w="80" w:type="dxa"/>
              <w:end w:w="120" w:type="dxa"/>
            </w:tcMar>
            <w:vAlign w:val="center"/>
          </w:tcPr>
          <w:p>
            <w:pPr>
              <w:spacing w:after="40" w:line="252" w:lineRule="auto"/>
            </w:pPr>
            <w:r>
              <w:rPr>
                <w:sz w:val="19"/>
              </w:rPr>
              <w:t>4. Material Recovery</w:t>
            </w:r>
          </w:p>
        </w:tc>
        <w:tc>
          <w:tcPr>
            <w:tcW w:type="dxa" w:w="4000"/>
            <w:tcMar>
              <w:top w:w="80" w:type="dxa"/>
              <w:start w:w="120" w:type="dxa"/>
              <w:bottom w:w="80" w:type="dxa"/>
              <w:end w:w="120" w:type="dxa"/>
            </w:tcMar>
            <w:vAlign w:val="center"/>
          </w:tcPr>
          <w:p>
            <w:pPr>
              <w:spacing w:after="40" w:line="252" w:lineRule="auto"/>
            </w:pPr>
            <w:r>
              <w:rPr>
                <w:sz w:val="19"/>
              </w:rPr>
              <w:t>Proven feedstock, water/energy/environmental clearance, financial viability</w:t>
            </w:r>
          </w:p>
        </w:tc>
        <w:tc>
          <w:tcPr>
            <w:tcW w:type="dxa" w:w="3660"/>
            <w:tcMar>
              <w:top w:w="80" w:type="dxa"/>
              <w:start w:w="120" w:type="dxa"/>
              <w:bottom w:w="80" w:type="dxa"/>
              <w:end w:w="120" w:type="dxa"/>
            </w:tcMar>
            <w:vAlign w:val="center"/>
          </w:tcPr>
          <w:p>
            <w:pPr>
              <w:spacing w:after="40" w:line="252" w:lineRule="auto"/>
            </w:pPr>
            <w:r>
              <w:rPr>
                <w:sz w:val="19"/>
              </w:rPr>
              <w:t>Domestic/regional technology partnership</w:t>
            </w:r>
          </w:p>
        </w:tc>
      </w:tr>
    </w:tbl>
    <w:p>
      <w:pPr>
        <w:spacing w:after="20"/>
      </w:pPr>
    </w:p>
    <w:p>
      <w:r>
        <w:t>Across these stages, MCBI remains interested in collaborating at the research level with advanced critical-minerals-separation technology institutions such as IOCB Prague, and in testing their technology under Mongolian conditions. This collaboration is not yet formally confirmed, but represents one possible direction for the Pre-processing Assessment (Stage 3).</w:t>
      </w:r>
    </w:p>
    <w:tbl>
      <w:tblPr>
        <w:tblW w:type="auto" w:w="0"/>
        <w:jc w:val="center"/>
        <w:tblLayout w:type="fixed"/>
        <w:tblLook w:firstColumn="1" w:firstRow="1" w:lastColumn="0" w:lastRow="0" w:noHBand="0" w:noVBand="1" w:val="04A0"/>
      </w:tblPr>
      <w:tblGrid>
        <w:gridCol w:w="9360"/>
      </w:tblGrid>
      <w:tr>
        <w:trPr>
          <w:tblHeader w:val="true"/>
          <w:cantSplit/>
        </w:trPr>
        <w:tc>
          <w:tcPr>
            <w:tcW w:type="dxa" w:w="9360"/>
            <w:tcMar>
              <w:top w:w="160" w:type="dxa"/>
              <w:start w:w="180" w:type="dxa"/>
              <w:bottom w:w="160" w:type="dxa"/>
              <w:end w:w="180" w:type="dxa"/>
            </w:tcMar>
            <w:shd w:fill="EAF2F8"/>
          </w:tcPr>
          <w:p>
            <w:pPr>
              <w:spacing w:after="0"/>
            </w:pPr>
            <w:r>
              <w:rPr>
                <w:b/>
                <w:color w:val="1F4D78"/>
              </w:rPr>
              <w:t xml:space="preserve">Scale-up rule: </w:t>
            </w:r>
            <w:r>
              <w:t>Each next stage will be decided based on the actual volumes, incident record, unit costs, legal compliance, and buyer/processor assurances of the preceding stage.</w:t>
            </w:r>
          </w:p>
        </w:tc>
      </w:tr>
    </w:tbl>
    <w:p>
      <w:pPr>
        <w:spacing w:after="20"/>
      </w:pPr>
    </w:p>
    <w:p>
      <w:pPr>
        <w:pStyle w:val="Heading1"/>
      </w:pPr>
      <w:r>
        <w:t>18. Conditions for Project Success</w:t>
      </w:r>
    </w:p>
    <w:p>
      <w:pPr>
        <w:pStyle w:val="ListBullet"/>
        <w:spacing w:after="80" w:line="290" w:lineRule="auto"/>
      </w:pPr>
      <w:r>
        <w:t>Early engagement of the relevant authorities and a clear permitting pathway.</w:t>
      </w:r>
    </w:p>
    <w:p>
      <w:pPr>
        <w:pStyle w:val="ListBullet"/>
        <w:spacing w:after="80" w:line="290" w:lineRule="auto"/>
      </w:pPr>
      <w:r>
        <w:t>Contracts with importers, service providers, and operators who have a genuine commitment to supply battery flow.</w:t>
      </w:r>
    </w:p>
    <w:p>
      <w:pPr>
        <w:pStyle w:val="ListBullet"/>
        <w:spacing w:after="80" w:line="290" w:lineRule="auto"/>
      </w:pPr>
      <w:r>
        <w:t>A professional team capable of independently monitoring safety.</w:t>
      </w:r>
    </w:p>
    <w:p>
      <w:pPr>
        <w:pStyle w:val="ListBullet"/>
        <w:spacing w:after="80" w:line="290" w:lineRule="auto"/>
      </w:pPr>
      <w:r>
        <w:t>Supplier assurance of training, calibration, repair, and spare parts for equipment.</w:t>
      </w:r>
    </w:p>
    <w:p>
      <w:pPr>
        <w:pStyle w:val="ListBullet"/>
        <w:spacing w:after="80" w:line="290" w:lineRule="auto"/>
      </w:pPr>
      <w:r>
        <w:t>An unbroken chain-of-custody record.</w:t>
      </w:r>
    </w:p>
    <w:p>
      <w:pPr>
        <w:pStyle w:val="ListBullet"/>
        <w:spacing w:after="80" w:line="290" w:lineRule="auto"/>
      </w:pPr>
      <w:r>
        <w:t>A culture of reporting results without exaggeration and disclosing incidents and lessons learned transparently.</w:t>
      </w:r>
    </w:p>
    <w:p>
      <w:pPr>
        <w:pStyle w:val="ListBullet"/>
        <w:spacing w:after="80" w:line="290" w:lineRule="auto"/>
      </w:pPr>
      <w:r>
        <w:t>Clarity on the post-pilot financing mechanism and institutional ownership.</w:t>
      </w:r>
    </w:p>
    <w:p>
      <w:pPr>
        <w:pStyle w:val="Heading1"/>
      </w:pPr>
      <w:r>
        <w:t>19. Conclusion and Partnership Proposal</w:t>
      </w:r>
    </w:p>
    <w:p>
      <w:r>
        <w:t>The pilot center proposed by MCBI is a foundational investment for launching Mongolia’s battery circular system in a realistic, safe, and phased way. Rather than promising a large-scale plant upfront, the project first builds an understanding of battery flows, manages risk, and develops diagnostic capacity, traceable data, trained people, and institutional cooperation.</w:t>
      </w:r>
    </w:p>
    <w:p>
      <w:r>
        <w:t>MCBI proposes to work with government agencies, importers, technology suppliers, universities, laboratories, development organizations, investors, and professional waste operators in the following areas:</w:t>
      </w:r>
    </w:p>
    <w:p>
      <w:pPr>
        <w:pStyle w:val="ListBullet"/>
        <w:spacing w:after="80" w:line="290" w:lineRule="auto"/>
      </w:pPr>
      <w:r>
        <w:t>A site, permitting, and regulatory working group;</w:t>
      </w:r>
    </w:p>
    <w:p>
      <w:pPr>
        <w:pStyle w:val="ListBullet"/>
        <w:spacing w:after="80" w:line="290" w:lineRule="auto"/>
      </w:pPr>
      <w:r>
        <w:t>Technical partnership on equipment, methodology, and training;</w:t>
      </w:r>
    </w:p>
    <w:p>
      <w:pPr>
        <w:pStyle w:val="ListBullet"/>
        <w:spacing w:after="80" w:line="290" w:lineRule="auto"/>
      </w:pPr>
      <w:r>
        <w:t>A pilot collection network and battery-flow agreements;</w:t>
      </w:r>
    </w:p>
    <w:p>
      <w:pPr>
        <w:pStyle w:val="ListBullet"/>
        <w:spacing w:after="80" w:line="290" w:lineRule="auto"/>
      </w:pPr>
      <w:r>
        <w:t>Digital records, QR codes, and data standards;</w:t>
      </w:r>
    </w:p>
    <w:p>
      <w:pPr>
        <w:pStyle w:val="ListBullet"/>
        <w:spacing w:after="80" w:line="290" w:lineRule="auto"/>
      </w:pPr>
      <w:r>
        <w:t>Financing, in-kind support, and joint research;</w:t>
      </w:r>
    </w:p>
    <w:p>
      <w:pPr>
        <w:pStyle w:val="ListBullet"/>
        <w:spacing w:after="80" w:line="290" w:lineRule="auto"/>
      </w:pPr>
      <w:r>
        <w:t>Independent safety and results evaluation.</w:t>
      </w:r>
    </w:p>
    <w:p>
      <w:r>
        <w:t>In the long run, managing battery flows properly will not only reduce environmental risk but also form the foundation for bringing the mineral wealth needed for the future energy transition back to Mongolia with added value. All of this begins with reliably establishing the pilot center and building the first data, practices, and trust — and that is precisely the core of MCBI’s proposal.</w:t>
      </w:r>
    </w:p>
    <w:p>
      <w:r>
        <w:br w:type="page"/>
      </w:r>
    </w:p>
    <w:p>
      <w:pPr>
        <w:pStyle w:val="Title"/>
      </w:pPr>
      <w:r>
        <w:t>APPENDIX 1. LOGICAL FRAMEWORK</w:t>
      </w:r>
    </w:p>
    <w:tbl>
      <w:tblPr>
        <w:tblStyle w:val="TableGrid"/>
        <w:tblW w:type="dxa" w:w="9360"/>
        <w:jc w:val="center"/>
        <w:tblLayout w:type="fixed"/>
        <w:tblLook w:firstColumn="1" w:firstRow="1" w:lastColumn="0" w:lastRow="0" w:noHBand="0" w:noVBand="1" w:val="04A0"/>
        <w:tblInd w:w="120" w:type="dxa"/>
      </w:tblPr>
      <w:tblGrid>
        <w:gridCol w:w="1550"/>
        <w:gridCol w:w="3100"/>
        <w:gridCol w:w="2700"/>
        <w:gridCol w:w="2010"/>
      </w:tblGrid>
      <w:tr>
        <w:trPr>
          <w:tblHeader w:val="true"/>
          <w:cantSplit/>
        </w:trPr>
        <w:tc>
          <w:tcPr>
            <w:tcW w:type="dxa" w:w="1550"/>
            <w:tcMar>
              <w:top w:w="80" w:type="dxa"/>
              <w:start w:w="120" w:type="dxa"/>
              <w:bottom w:w="80" w:type="dxa"/>
              <w:end w:w="120" w:type="dxa"/>
            </w:tcMar>
            <w:vAlign w:val="center"/>
            <w:shd w:fill="1F4D78"/>
          </w:tcPr>
          <w:p>
            <w:pPr>
              <w:spacing w:after="40" w:line="252" w:lineRule="auto"/>
            </w:pPr>
            <w:r>
              <w:rPr>
                <w:b/>
                <w:color w:val="FFFFFF"/>
                <w:sz w:val="19"/>
              </w:rPr>
              <w:t>Level</w:t>
            </w:r>
          </w:p>
        </w:tc>
        <w:tc>
          <w:tcPr>
            <w:tcW w:type="dxa" w:w="3100"/>
            <w:tcMar>
              <w:top w:w="80" w:type="dxa"/>
              <w:start w:w="120" w:type="dxa"/>
              <w:bottom w:w="80" w:type="dxa"/>
              <w:end w:w="120" w:type="dxa"/>
            </w:tcMar>
            <w:vAlign w:val="center"/>
            <w:shd w:fill="1F4D78"/>
          </w:tcPr>
          <w:p>
            <w:pPr>
              <w:spacing w:after="40" w:line="252" w:lineRule="auto"/>
            </w:pPr>
            <w:r>
              <w:rPr>
                <w:b/>
                <w:color w:val="FFFFFF"/>
                <w:sz w:val="19"/>
              </w:rPr>
              <w:t>Statement</w:t>
            </w:r>
          </w:p>
        </w:tc>
        <w:tc>
          <w:tcPr>
            <w:tcW w:type="dxa" w:w="2700"/>
            <w:tcMar>
              <w:top w:w="80" w:type="dxa"/>
              <w:start w:w="120" w:type="dxa"/>
              <w:bottom w:w="80" w:type="dxa"/>
              <w:end w:w="120" w:type="dxa"/>
            </w:tcMar>
            <w:vAlign w:val="center"/>
            <w:shd w:fill="1F4D78"/>
          </w:tcPr>
          <w:p>
            <w:pPr>
              <w:spacing w:after="40" w:line="252" w:lineRule="auto"/>
            </w:pPr>
            <w:r>
              <w:rPr>
                <w:b/>
                <w:color w:val="FFFFFF"/>
                <w:sz w:val="19"/>
              </w:rPr>
              <w:t>Indicator</w:t>
            </w:r>
          </w:p>
        </w:tc>
        <w:tc>
          <w:tcPr>
            <w:tcW w:type="dxa" w:w="2010"/>
            <w:tcMar>
              <w:top w:w="80" w:type="dxa"/>
              <w:start w:w="120" w:type="dxa"/>
              <w:bottom w:w="80" w:type="dxa"/>
              <w:end w:w="120" w:type="dxa"/>
            </w:tcMar>
            <w:vAlign w:val="center"/>
            <w:shd w:fill="1F4D78"/>
          </w:tcPr>
          <w:p>
            <w:pPr>
              <w:spacing w:after="40" w:line="252" w:lineRule="auto"/>
            </w:pPr>
            <w:r>
              <w:rPr>
                <w:b/>
                <w:color w:val="FFFFFF"/>
                <w:sz w:val="19"/>
              </w:rPr>
              <w:t>Assumption</w:t>
            </w:r>
          </w:p>
        </w:tc>
      </w:tr>
      <w:tr>
        <w:trPr>
          <w:cantSplit/>
        </w:trPr>
        <w:tc>
          <w:tcPr>
            <w:tcW w:type="dxa" w:w="1550"/>
            <w:tcMar>
              <w:top w:w="80" w:type="dxa"/>
              <w:start w:w="120" w:type="dxa"/>
              <w:bottom w:w="80" w:type="dxa"/>
              <w:end w:w="120" w:type="dxa"/>
            </w:tcMar>
            <w:vAlign w:val="center"/>
          </w:tcPr>
          <w:p>
            <w:pPr>
              <w:spacing w:after="40" w:line="252" w:lineRule="auto"/>
            </w:pPr>
            <w:r>
              <w:rPr>
                <w:sz w:val="19"/>
              </w:rPr>
              <w:t>Impact</w:t>
            </w:r>
          </w:p>
        </w:tc>
        <w:tc>
          <w:tcPr>
            <w:tcW w:type="dxa" w:w="3100"/>
            <w:tcMar>
              <w:top w:w="80" w:type="dxa"/>
              <w:start w:w="120" w:type="dxa"/>
              <w:bottom w:w="80" w:type="dxa"/>
              <w:end w:w="120" w:type="dxa"/>
            </w:tcMar>
            <w:vAlign w:val="center"/>
          </w:tcPr>
          <w:p>
            <w:pPr>
              <w:spacing w:after="40" w:line="252" w:lineRule="auto"/>
            </w:pPr>
            <w:r>
              <w:rPr>
                <w:sz w:val="19"/>
              </w:rPr>
              <w:t>Battery-waste risk is reduced and the foundation of a circular system is established</w:t>
            </w:r>
          </w:p>
        </w:tc>
        <w:tc>
          <w:tcPr>
            <w:tcW w:type="dxa" w:w="2700"/>
            <w:tcMar>
              <w:top w:w="80" w:type="dxa"/>
              <w:start w:w="120" w:type="dxa"/>
              <w:bottom w:w="80" w:type="dxa"/>
              <w:end w:w="120" w:type="dxa"/>
            </w:tcMar>
            <w:vAlign w:val="center"/>
          </w:tcPr>
          <w:p>
            <w:pPr>
              <w:spacing w:after="40" w:line="252" w:lineRule="auto"/>
            </w:pPr>
            <w:r>
              <w:rPr>
                <w:sz w:val="19"/>
              </w:rPr>
              <w:t>Pilot data is used in government/sector decisions</w:t>
            </w:r>
          </w:p>
        </w:tc>
        <w:tc>
          <w:tcPr>
            <w:tcW w:type="dxa" w:w="2010"/>
            <w:tcMar>
              <w:top w:w="80" w:type="dxa"/>
              <w:start w:w="120" w:type="dxa"/>
              <w:bottom w:w="80" w:type="dxa"/>
              <w:end w:w="120" w:type="dxa"/>
            </w:tcMar>
            <w:vAlign w:val="center"/>
          </w:tcPr>
          <w:p>
            <w:pPr>
              <w:spacing w:after="40" w:line="252" w:lineRule="auto"/>
            </w:pPr>
            <w:r>
              <w:rPr>
                <w:sz w:val="19"/>
              </w:rPr>
              <w:t>Policy engagement continues</w:t>
            </w:r>
          </w:p>
        </w:tc>
      </w:tr>
      <w:tr>
        <w:trPr>
          <w:cantSplit/>
        </w:trPr>
        <w:tc>
          <w:tcPr>
            <w:tcW w:type="dxa" w:w="1550"/>
            <w:tcMar>
              <w:top w:w="80" w:type="dxa"/>
              <w:start w:w="120" w:type="dxa"/>
              <w:bottom w:w="80" w:type="dxa"/>
              <w:end w:w="120" w:type="dxa"/>
            </w:tcMar>
            <w:vAlign w:val="center"/>
            <w:shd w:fill="F8FAFC"/>
          </w:tcPr>
          <w:p>
            <w:pPr>
              <w:spacing w:after="40" w:line="252" w:lineRule="auto"/>
            </w:pPr>
            <w:r>
              <w:rPr>
                <w:sz w:val="19"/>
              </w:rPr>
              <w:t>Outcome</w:t>
            </w:r>
          </w:p>
        </w:tc>
        <w:tc>
          <w:tcPr>
            <w:tcW w:type="dxa" w:w="3100"/>
            <w:tcMar>
              <w:top w:w="80" w:type="dxa"/>
              <w:start w:w="120" w:type="dxa"/>
              <w:bottom w:w="80" w:type="dxa"/>
              <w:end w:w="120" w:type="dxa"/>
            </w:tcMar>
            <w:vAlign w:val="center"/>
            <w:shd w:fill="F8FAFC"/>
          </w:tcPr>
          <w:p>
            <w:pPr>
              <w:spacing w:after="40" w:line="252" w:lineRule="auto"/>
            </w:pPr>
            <w:r>
              <w:rPr>
                <w:sz w:val="19"/>
              </w:rPr>
              <w:t>Safe collection, diagnostics, and traceability systems are operating</w:t>
            </w:r>
          </w:p>
        </w:tc>
        <w:tc>
          <w:tcPr>
            <w:tcW w:type="dxa" w:w="2700"/>
            <w:tcMar>
              <w:top w:w="80" w:type="dxa"/>
              <w:start w:w="120" w:type="dxa"/>
              <w:bottom w:w="80" w:type="dxa"/>
              <w:end w:w="120" w:type="dxa"/>
            </w:tcMar>
            <w:vAlign w:val="center"/>
            <w:shd w:fill="F8FAFC"/>
          </w:tcPr>
          <w:p>
            <w:pPr>
              <w:spacing w:after="40" w:line="252" w:lineRule="auto"/>
            </w:pPr>
            <w:r>
              <w:rPr>
                <w:sz w:val="19"/>
              </w:rPr>
              <w:t>Completeness of ID, diagnostics, and transfer records</w:t>
            </w:r>
          </w:p>
        </w:tc>
        <w:tc>
          <w:tcPr>
            <w:tcW w:type="dxa" w:w="2010"/>
            <w:tcMar>
              <w:top w:w="80" w:type="dxa"/>
              <w:start w:w="120" w:type="dxa"/>
              <w:bottom w:w="80" w:type="dxa"/>
              <w:end w:w="120" w:type="dxa"/>
            </w:tcMar>
            <w:vAlign w:val="center"/>
            <w:shd w:fill="F8FAFC"/>
          </w:tcPr>
          <w:p>
            <w:pPr>
              <w:spacing w:after="40" w:line="252" w:lineRule="auto"/>
            </w:pPr>
            <w:r>
              <w:rPr>
                <w:sz w:val="19"/>
              </w:rPr>
              <w:t>Partners remain consistently engaged</w:t>
            </w:r>
          </w:p>
        </w:tc>
      </w:tr>
      <w:tr>
        <w:trPr>
          <w:cantSplit/>
        </w:trPr>
        <w:tc>
          <w:tcPr>
            <w:tcW w:type="dxa" w:w="1550"/>
            <w:tcMar>
              <w:top w:w="80" w:type="dxa"/>
              <w:start w:w="120" w:type="dxa"/>
              <w:bottom w:w="80" w:type="dxa"/>
              <w:end w:w="120" w:type="dxa"/>
            </w:tcMar>
            <w:vAlign w:val="center"/>
          </w:tcPr>
          <w:p>
            <w:pPr>
              <w:spacing w:after="40" w:line="252" w:lineRule="auto"/>
            </w:pPr>
            <w:r>
              <w:rPr>
                <w:sz w:val="19"/>
              </w:rPr>
              <w:t>Output 1</w:t>
            </w:r>
          </w:p>
        </w:tc>
        <w:tc>
          <w:tcPr>
            <w:tcW w:type="dxa" w:w="3100"/>
            <w:tcMar>
              <w:top w:w="80" w:type="dxa"/>
              <w:start w:w="120" w:type="dxa"/>
              <w:bottom w:w="80" w:type="dxa"/>
              <w:end w:w="120" w:type="dxa"/>
            </w:tcMar>
            <w:vAlign w:val="center"/>
          </w:tcPr>
          <w:p>
            <w:pPr>
              <w:spacing w:after="40" w:line="252" w:lineRule="auto"/>
            </w:pPr>
            <w:r>
              <w:rPr>
                <w:sz w:val="19"/>
              </w:rPr>
              <w:t>Pilot center and equipment</w:t>
            </w:r>
          </w:p>
        </w:tc>
        <w:tc>
          <w:tcPr>
            <w:tcW w:type="dxa" w:w="2700"/>
            <w:tcMar>
              <w:top w:w="80" w:type="dxa"/>
              <w:start w:w="120" w:type="dxa"/>
              <w:bottom w:w="80" w:type="dxa"/>
              <w:end w:w="120" w:type="dxa"/>
            </w:tcMar>
            <w:vAlign w:val="center"/>
          </w:tcPr>
          <w:p>
            <w:pPr>
              <w:spacing w:after="40" w:line="252" w:lineRule="auto"/>
            </w:pPr>
            <w:r>
              <w:rPr>
                <w:sz w:val="19"/>
              </w:rPr>
              <w:t>1 operational center</w:t>
            </w:r>
          </w:p>
        </w:tc>
        <w:tc>
          <w:tcPr>
            <w:tcW w:type="dxa" w:w="2010"/>
            <w:tcMar>
              <w:top w:w="80" w:type="dxa"/>
              <w:start w:w="120" w:type="dxa"/>
              <w:bottom w:w="80" w:type="dxa"/>
              <w:end w:w="120" w:type="dxa"/>
            </w:tcMar>
            <w:vAlign w:val="center"/>
          </w:tcPr>
          <w:p>
            <w:pPr>
              <w:spacing w:after="40" w:line="252" w:lineRule="auto"/>
            </w:pPr>
            <w:r>
              <w:rPr>
                <w:sz w:val="19"/>
              </w:rPr>
              <w:t>Site and permits are resolved</w:t>
            </w:r>
          </w:p>
        </w:tc>
      </w:tr>
      <w:tr>
        <w:trPr>
          <w:cantSplit/>
        </w:trPr>
        <w:tc>
          <w:tcPr>
            <w:tcW w:type="dxa" w:w="1550"/>
            <w:tcMar>
              <w:top w:w="80" w:type="dxa"/>
              <w:start w:w="120" w:type="dxa"/>
              <w:bottom w:w="80" w:type="dxa"/>
              <w:end w:w="120" w:type="dxa"/>
            </w:tcMar>
            <w:vAlign w:val="center"/>
            <w:shd w:fill="F8FAFC"/>
          </w:tcPr>
          <w:p>
            <w:pPr>
              <w:spacing w:after="40" w:line="252" w:lineRule="auto"/>
            </w:pPr>
            <w:r>
              <w:rPr>
                <w:sz w:val="19"/>
              </w:rPr>
              <w:t>Output 2</w:t>
            </w:r>
          </w:p>
        </w:tc>
        <w:tc>
          <w:tcPr>
            <w:tcW w:type="dxa" w:w="3100"/>
            <w:tcMar>
              <w:top w:w="80" w:type="dxa"/>
              <w:start w:w="120" w:type="dxa"/>
              <w:bottom w:w="80" w:type="dxa"/>
              <w:end w:w="120" w:type="dxa"/>
            </w:tcMar>
            <w:vAlign w:val="center"/>
            <w:shd w:fill="F8FAFC"/>
          </w:tcPr>
          <w:p>
            <w:pPr>
              <w:spacing w:after="40" w:line="252" w:lineRule="auto"/>
            </w:pPr>
            <w:r>
              <w:rPr>
                <w:sz w:val="19"/>
              </w:rPr>
              <w:t>SOPs and a trained team</w:t>
            </w:r>
          </w:p>
        </w:tc>
        <w:tc>
          <w:tcPr>
            <w:tcW w:type="dxa" w:w="2700"/>
            <w:tcMar>
              <w:top w:w="80" w:type="dxa"/>
              <w:start w:w="120" w:type="dxa"/>
              <w:bottom w:w="80" w:type="dxa"/>
              <w:end w:w="120" w:type="dxa"/>
            </w:tcMar>
            <w:vAlign w:val="center"/>
            <w:shd w:fill="F8FAFC"/>
          </w:tcPr>
          <w:p>
            <w:pPr>
              <w:spacing w:after="40" w:line="252" w:lineRule="auto"/>
            </w:pPr>
            <w:r>
              <w:rPr>
                <w:sz w:val="19"/>
              </w:rPr>
              <w:t>≥10 SOPs; ≥20 people</w:t>
            </w:r>
          </w:p>
        </w:tc>
        <w:tc>
          <w:tcPr>
            <w:tcW w:type="dxa" w:w="2010"/>
            <w:tcMar>
              <w:top w:w="80" w:type="dxa"/>
              <w:start w:w="120" w:type="dxa"/>
              <w:bottom w:w="80" w:type="dxa"/>
              <w:end w:w="120" w:type="dxa"/>
            </w:tcMar>
            <w:vAlign w:val="center"/>
            <w:shd w:fill="F8FAFC"/>
          </w:tcPr>
          <w:p>
            <w:pPr>
              <w:spacing w:after="40" w:line="252" w:lineRule="auto"/>
            </w:pPr>
            <w:r>
              <w:rPr>
                <w:sz w:val="19"/>
              </w:rPr>
              <w:t>Experts and training resources are available</w:t>
            </w:r>
          </w:p>
        </w:tc>
      </w:tr>
      <w:tr>
        <w:trPr>
          <w:cantSplit/>
        </w:trPr>
        <w:tc>
          <w:tcPr>
            <w:tcW w:type="dxa" w:w="1550"/>
            <w:tcMar>
              <w:top w:w="80" w:type="dxa"/>
              <w:start w:w="120" w:type="dxa"/>
              <w:bottom w:w="80" w:type="dxa"/>
              <w:end w:w="120" w:type="dxa"/>
            </w:tcMar>
            <w:vAlign w:val="center"/>
          </w:tcPr>
          <w:p>
            <w:pPr>
              <w:spacing w:after="40" w:line="252" w:lineRule="auto"/>
            </w:pPr>
            <w:r>
              <w:rPr>
                <w:sz w:val="19"/>
              </w:rPr>
              <w:t>Output 3</w:t>
            </w:r>
          </w:p>
        </w:tc>
        <w:tc>
          <w:tcPr>
            <w:tcW w:type="dxa" w:w="3100"/>
            <w:tcMar>
              <w:top w:w="80" w:type="dxa"/>
              <w:start w:w="120" w:type="dxa"/>
              <w:bottom w:w="80" w:type="dxa"/>
              <w:end w:w="120" w:type="dxa"/>
            </w:tcMar>
            <w:vAlign w:val="center"/>
          </w:tcPr>
          <w:p>
            <w:pPr>
              <w:spacing w:after="40" w:line="252" w:lineRule="auto"/>
            </w:pPr>
            <w:r>
              <w:rPr>
                <w:sz w:val="19"/>
              </w:rPr>
              <w:t>Data and policy recommendations</w:t>
            </w:r>
          </w:p>
        </w:tc>
        <w:tc>
          <w:tcPr>
            <w:tcW w:type="dxa" w:w="2700"/>
            <w:tcMar>
              <w:top w:w="80" w:type="dxa"/>
              <w:start w:w="120" w:type="dxa"/>
              <w:bottom w:w="80" w:type="dxa"/>
              <w:end w:w="120" w:type="dxa"/>
            </w:tcMar>
            <w:vAlign w:val="center"/>
          </w:tcPr>
          <w:p>
            <w:pPr>
              <w:spacing w:after="40" w:line="252" w:lineRule="auto"/>
            </w:pPr>
            <w:r>
              <w:rPr>
                <w:sz w:val="19"/>
              </w:rPr>
              <w:t>QR records; 2 final documents</w:t>
            </w:r>
          </w:p>
        </w:tc>
        <w:tc>
          <w:tcPr>
            <w:tcW w:type="dxa" w:w="2010"/>
            <w:tcMar>
              <w:top w:w="80" w:type="dxa"/>
              <w:start w:w="120" w:type="dxa"/>
              <w:bottom w:w="80" w:type="dxa"/>
              <w:end w:w="120" w:type="dxa"/>
            </w:tcMar>
            <w:vAlign w:val="center"/>
          </w:tcPr>
          <w:p>
            <w:pPr>
              <w:spacing w:after="40" w:line="252" w:lineRule="auto"/>
            </w:pPr>
            <w:r>
              <w:rPr>
                <w:sz w:val="19"/>
              </w:rPr>
              <w:t>Data quality is adequate</w:t>
            </w:r>
          </w:p>
        </w:tc>
      </w:tr>
    </w:tbl>
    <w:p>
      <w:pPr>
        <w:spacing w:after="20"/>
      </w:pPr>
    </w:p>
    <w:p>
      <w:pPr>
        <w:pStyle w:val="Title"/>
      </w:pPr>
      <w:r>
        <w:t>APPENDIX 2. SITE-SELECTION CHECKLIST</w:t>
      </w:r>
    </w:p>
    <w:p>
      <w:pPr>
        <w:pStyle w:val="ListBullet"/>
        <w:spacing w:after="80" w:line="290" w:lineRule="auto"/>
      </w:pPr>
      <w:r>
        <w:t>☐ Suitability of zoning and permitting</w:t>
      </w:r>
    </w:p>
    <w:p>
      <w:pPr>
        <w:pStyle w:val="ListBullet"/>
        <w:spacing w:after="80" w:line="290" w:lineRule="auto"/>
      </w:pPr>
      <w:r>
        <w:t>☐ Distance and risk conditions relative to housing, schools, and other sensitive receptors</w:t>
      </w:r>
    </w:p>
    <w:p>
      <w:pPr>
        <w:pStyle w:val="ListBullet"/>
        <w:spacing w:after="80" w:line="290" w:lineRule="auto"/>
      </w:pPr>
      <w:r>
        <w:t>☐ Emergency-vehicle access, emergency exits, and isolation capability</w:t>
      </w:r>
    </w:p>
    <w:p>
      <w:pPr>
        <w:pStyle w:val="ListBullet"/>
        <w:spacing w:after="80" w:line="290" w:lineRule="auto"/>
      </w:pPr>
      <w:r>
        <w:t>☐ Flooring, drainage, and spill-containment conditions</w:t>
      </w:r>
    </w:p>
    <w:p>
      <w:pPr>
        <w:pStyle w:val="ListBullet"/>
        <w:spacing w:after="80" w:line="290" w:lineRule="auto"/>
      </w:pPr>
      <w:r>
        <w:t>☐ Ventilation, electrical capacity, grounding, and voltage protection</w:t>
      </w:r>
    </w:p>
    <w:p>
      <w:pPr>
        <w:pStyle w:val="ListBullet"/>
        <w:spacing w:after="80" w:line="290" w:lineRule="auto"/>
      </w:pPr>
      <w:r>
        <w:t>☐ Physical separation of quarantine, diagnostics, and storage</w:t>
      </w:r>
    </w:p>
    <w:p>
      <w:pPr>
        <w:pStyle w:val="ListBullet"/>
        <w:spacing w:after="80" w:line="290" w:lineRule="auto"/>
      </w:pPr>
      <w:r>
        <w:t>☐ CCTV, access control, and 24/7 alarm capability</w:t>
      </w:r>
    </w:p>
    <w:p>
      <w:pPr>
        <w:pStyle w:val="ListBullet"/>
        <w:spacing w:after="80" w:line="290" w:lineRule="auto"/>
      </w:pPr>
      <w:r>
        <w:t>☐ Transport access and a safe loading/unloading area</w:t>
      </w:r>
    </w:p>
    <w:p>
      <w:pPr>
        <w:pStyle w:val="ListBullet"/>
        <w:spacing w:after="80" w:line="290" w:lineRule="auto"/>
      </w:pPr>
      <w:r>
        <w:t>☐ Potential for future modular expansion</w:t>
      </w:r>
    </w:p>
    <w:p>
      <w:pPr>
        <w:pStyle w:val="ListBullet"/>
        <w:spacing w:after="80" w:line="290" w:lineRule="auto"/>
      </w:pPr>
      <w:r>
        <w:t>☐ Lease/ownership, insurance, and total operating cost</w:t>
      </w:r>
    </w:p>
    <w:p>
      <w:pPr>
        <w:pStyle w:val="Title"/>
      </w:pPr>
      <w:r>
        <w:t>APPENDIX 3. BATTERY INTAKE FORM — KEY FIELDS</w:t>
      </w:r>
    </w:p>
    <w:tbl>
      <w:tblPr>
        <w:tblStyle w:val="TableGrid"/>
        <w:tblW w:type="dxa" w:w="9360"/>
        <w:jc w:val="center"/>
        <w:tblLayout w:type="fixed"/>
        <w:tblLook w:firstColumn="1" w:firstRow="1" w:lastColumn="0" w:lastRow="0" w:noHBand="0" w:noVBand="1" w:val="04A0"/>
        <w:tblInd w:w="120" w:type="dxa"/>
      </w:tblPr>
      <w:tblGrid>
        <w:gridCol w:w="2100"/>
        <w:gridCol w:w="7260"/>
      </w:tblGrid>
      <w:tr>
        <w:trPr>
          <w:tblHeader w:val="true"/>
          <w:cantSplit/>
        </w:trPr>
        <w:tc>
          <w:tcPr>
            <w:tcW w:type="dxa" w:w="2100"/>
            <w:tcMar>
              <w:top w:w="80" w:type="dxa"/>
              <w:start w:w="120" w:type="dxa"/>
              <w:bottom w:w="80" w:type="dxa"/>
              <w:end w:w="120" w:type="dxa"/>
            </w:tcMar>
            <w:vAlign w:val="center"/>
            <w:shd w:fill="1F4D78"/>
          </w:tcPr>
          <w:p>
            <w:pPr>
              <w:spacing w:after="40" w:line="252" w:lineRule="auto"/>
            </w:pPr>
            <w:r>
              <w:rPr>
                <w:b/>
                <w:color w:val="FFFFFF"/>
                <w:sz w:val="19"/>
              </w:rPr>
              <w:t>Category</w:t>
            </w:r>
          </w:p>
        </w:tc>
        <w:tc>
          <w:tcPr>
            <w:tcW w:type="dxa" w:w="7260"/>
            <w:tcMar>
              <w:top w:w="80" w:type="dxa"/>
              <w:start w:w="120" w:type="dxa"/>
              <w:bottom w:w="80" w:type="dxa"/>
              <w:end w:w="120" w:type="dxa"/>
            </w:tcMar>
            <w:vAlign w:val="center"/>
            <w:shd w:fill="1F4D78"/>
          </w:tcPr>
          <w:p>
            <w:pPr>
              <w:spacing w:after="40" w:line="252" w:lineRule="auto"/>
            </w:pPr>
            <w:r>
              <w:rPr>
                <w:b/>
                <w:color w:val="FFFFFF"/>
                <w:sz w:val="19"/>
              </w:rPr>
              <w:t>Field</w:t>
            </w:r>
          </w:p>
        </w:tc>
      </w:tr>
      <w:tr>
        <w:trPr>
          <w:cantSplit/>
        </w:trPr>
        <w:tc>
          <w:tcPr>
            <w:tcW w:type="dxa" w:w="2100"/>
            <w:tcMar>
              <w:top w:w="80" w:type="dxa"/>
              <w:start w:w="120" w:type="dxa"/>
              <w:bottom w:w="80" w:type="dxa"/>
              <w:end w:w="120" w:type="dxa"/>
            </w:tcMar>
            <w:vAlign w:val="center"/>
          </w:tcPr>
          <w:p>
            <w:pPr>
              <w:spacing w:after="40" w:line="252" w:lineRule="auto"/>
            </w:pPr>
            <w:r>
              <w:rPr>
                <w:sz w:val="19"/>
              </w:rPr>
              <w:t>Source</w:t>
            </w:r>
          </w:p>
        </w:tc>
        <w:tc>
          <w:tcPr>
            <w:tcW w:type="dxa" w:w="7260"/>
            <w:tcMar>
              <w:top w:w="80" w:type="dxa"/>
              <w:start w:w="120" w:type="dxa"/>
              <w:bottom w:w="80" w:type="dxa"/>
              <w:end w:w="120" w:type="dxa"/>
            </w:tcMar>
            <w:vAlign w:val="center"/>
          </w:tcPr>
          <w:p>
            <w:pPr>
              <w:spacing w:after="40" w:line="252" w:lineRule="auto"/>
            </w:pPr>
            <w:r>
              <w:rPr>
                <w:sz w:val="19"/>
              </w:rPr>
              <w:t>Organization/source type; contact; transfer documentation</w:t>
            </w:r>
          </w:p>
        </w:tc>
      </w:tr>
      <w:tr>
        <w:trPr>
          <w:cantSplit/>
        </w:trPr>
        <w:tc>
          <w:tcPr>
            <w:tcW w:type="dxa" w:w="2100"/>
            <w:tcMar>
              <w:top w:w="80" w:type="dxa"/>
              <w:start w:w="120" w:type="dxa"/>
              <w:bottom w:w="80" w:type="dxa"/>
              <w:end w:w="120" w:type="dxa"/>
            </w:tcMar>
            <w:vAlign w:val="center"/>
            <w:shd w:fill="F8FAFC"/>
          </w:tcPr>
          <w:p>
            <w:pPr>
              <w:spacing w:after="40" w:line="252" w:lineRule="auto"/>
            </w:pPr>
            <w:r>
              <w:rPr>
                <w:sz w:val="19"/>
              </w:rPr>
              <w:t>Battery</w:t>
            </w:r>
          </w:p>
        </w:tc>
        <w:tc>
          <w:tcPr>
            <w:tcW w:type="dxa" w:w="7260"/>
            <w:tcMar>
              <w:top w:w="80" w:type="dxa"/>
              <w:start w:w="120" w:type="dxa"/>
              <w:bottom w:w="80" w:type="dxa"/>
              <w:end w:w="120" w:type="dxa"/>
            </w:tcMar>
            <w:vAlign w:val="center"/>
            <w:shd w:fill="F8FAFC"/>
          </w:tcPr>
          <w:p>
            <w:pPr>
              <w:spacing w:after="40" w:line="252" w:lineRule="auto"/>
            </w:pPr>
            <w:r>
              <w:rPr>
                <w:sz w:val="19"/>
              </w:rPr>
              <w:t>Manufacturer; model; serial number if available; application; chemistry</w:t>
            </w:r>
          </w:p>
        </w:tc>
      </w:tr>
      <w:tr>
        <w:trPr>
          <w:cantSplit/>
        </w:trPr>
        <w:tc>
          <w:tcPr>
            <w:tcW w:type="dxa" w:w="2100"/>
            <w:tcMar>
              <w:top w:w="80" w:type="dxa"/>
              <w:start w:w="120" w:type="dxa"/>
              <w:bottom w:w="80" w:type="dxa"/>
              <w:end w:w="120" w:type="dxa"/>
            </w:tcMar>
            <w:vAlign w:val="center"/>
          </w:tcPr>
          <w:p>
            <w:pPr>
              <w:spacing w:after="40" w:line="252" w:lineRule="auto"/>
            </w:pPr>
            <w:r>
              <w:rPr>
                <w:sz w:val="19"/>
              </w:rPr>
              <w:t>Quantity</w:t>
            </w:r>
          </w:p>
        </w:tc>
        <w:tc>
          <w:tcPr>
            <w:tcW w:type="dxa" w:w="7260"/>
            <w:tcMar>
              <w:top w:w="80" w:type="dxa"/>
              <w:start w:w="120" w:type="dxa"/>
              <w:bottom w:w="80" w:type="dxa"/>
              <w:end w:w="120" w:type="dxa"/>
            </w:tcMar>
            <w:vAlign w:val="center"/>
          </w:tcPr>
          <w:p>
            <w:pPr>
              <w:spacing w:after="40" w:line="252" w:lineRule="auto"/>
            </w:pPr>
            <w:r>
              <w:rPr>
                <w:sz w:val="19"/>
              </w:rPr>
              <w:t>Number of units; total weight; unit weight if available</w:t>
            </w:r>
          </w:p>
        </w:tc>
      </w:tr>
      <w:tr>
        <w:trPr>
          <w:cantSplit/>
        </w:trPr>
        <w:tc>
          <w:tcPr>
            <w:tcW w:type="dxa" w:w="2100"/>
            <w:tcMar>
              <w:top w:w="80" w:type="dxa"/>
              <w:start w:w="120" w:type="dxa"/>
              <w:bottom w:w="80" w:type="dxa"/>
              <w:end w:w="120" w:type="dxa"/>
            </w:tcMar>
            <w:vAlign w:val="center"/>
            <w:shd w:fill="F8FAFC"/>
          </w:tcPr>
          <w:p>
            <w:pPr>
              <w:spacing w:after="40" w:line="252" w:lineRule="auto"/>
            </w:pPr>
            <w:r>
              <w:rPr>
                <w:sz w:val="19"/>
              </w:rPr>
              <w:t>Condition</w:t>
            </w:r>
          </w:p>
        </w:tc>
        <w:tc>
          <w:tcPr>
            <w:tcW w:type="dxa" w:w="7260"/>
            <w:tcMar>
              <w:top w:w="80" w:type="dxa"/>
              <w:start w:w="120" w:type="dxa"/>
              <w:bottom w:w="80" w:type="dxa"/>
              <w:end w:w="120" w:type="dxa"/>
            </w:tcMar>
            <w:vAlign w:val="center"/>
            <w:shd w:fill="F8FAFC"/>
          </w:tcPr>
          <w:p>
            <w:pPr>
              <w:spacing w:after="40" w:line="252" w:lineRule="auto"/>
            </w:pPr>
            <w:r>
              <w:rPr>
                <w:sz w:val="19"/>
              </w:rPr>
              <w:t>Whether State of Charge (SOC) is known; damage; swelling; overheating; leakage; odor</w:t>
            </w:r>
          </w:p>
        </w:tc>
      </w:tr>
      <w:tr>
        <w:trPr>
          <w:cantSplit/>
        </w:trPr>
        <w:tc>
          <w:tcPr>
            <w:tcW w:type="dxa" w:w="2100"/>
            <w:tcMar>
              <w:top w:w="80" w:type="dxa"/>
              <w:start w:w="120" w:type="dxa"/>
              <w:bottom w:w="80" w:type="dxa"/>
              <w:end w:w="120" w:type="dxa"/>
            </w:tcMar>
            <w:vAlign w:val="center"/>
          </w:tcPr>
          <w:p>
            <w:pPr>
              <w:spacing w:after="40" w:line="252" w:lineRule="auto"/>
            </w:pPr>
            <w:r>
              <w:rPr>
                <w:sz w:val="19"/>
              </w:rPr>
              <w:t>Intake</w:t>
            </w:r>
          </w:p>
        </w:tc>
        <w:tc>
          <w:tcPr>
            <w:tcW w:type="dxa" w:w="7260"/>
            <w:tcMar>
              <w:top w:w="80" w:type="dxa"/>
              <w:start w:w="120" w:type="dxa"/>
              <w:bottom w:w="80" w:type="dxa"/>
              <w:end w:w="120" w:type="dxa"/>
            </w:tcMar>
            <w:vAlign w:val="center"/>
          </w:tcPr>
          <w:p>
            <w:pPr>
              <w:spacing w:after="40" w:line="252" w:lineRule="auto"/>
            </w:pPr>
            <w:r>
              <w:rPr>
                <w:sz w:val="19"/>
              </w:rPr>
              <w:t>Date/time; operator; photos; ID/QR; packaging</w:t>
            </w:r>
          </w:p>
        </w:tc>
      </w:tr>
      <w:tr>
        <w:trPr>
          <w:cantSplit/>
        </w:trPr>
        <w:tc>
          <w:tcPr>
            <w:tcW w:type="dxa" w:w="2100"/>
            <w:tcMar>
              <w:top w:w="80" w:type="dxa"/>
              <w:start w:w="120" w:type="dxa"/>
              <w:bottom w:w="80" w:type="dxa"/>
              <w:end w:w="120" w:type="dxa"/>
            </w:tcMar>
            <w:vAlign w:val="center"/>
            <w:shd w:fill="F8FAFC"/>
          </w:tcPr>
          <w:p>
            <w:pPr>
              <w:spacing w:after="40" w:line="252" w:lineRule="auto"/>
            </w:pPr>
            <w:r>
              <w:rPr>
                <w:sz w:val="19"/>
              </w:rPr>
              <w:t>Decision</w:t>
            </w:r>
          </w:p>
        </w:tc>
        <w:tc>
          <w:tcPr>
            <w:tcW w:type="dxa" w:w="7260"/>
            <w:tcMar>
              <w:top w:w="80" w:type="dxa"/>
              <w:start w:w="120" w:type="dxa"/>
              <w:bottom w:w="80" w:type="dxa"/>
              <w:end w:w="120" w:type="dxa"/>
            </w:tcMar>
            <w:vAlign w:val="center"/>
            <w:shd w:fill="F8FAFC"/>
          </w:tcPr>
          <w:p>
            <w:pPr>
              <w:spacing w:after="40" w:line="252" w:lineRule="auto"/>
            </w:pPr>
            <w:r>
              <w:rPr>
                <w:sz w:val="19"/>
              </w:rPr>
              <w:t>Accepted/rejected; quarantine; reason; person confirming</w:t>
            </w:r>
          </w:p>
        </w:tc>
      </w:tr>
    </w:tbl>
    <w:p>
      <w:pPr>
        <w:spacing w:after="20"/>
      </w:pPr>
    </w:p>
    <w:p>
      <w:pPr>
        <w:pStyle w:val="Title"/>
      </w:pPr>
      <w:r>
        <w:t>APPENDIX 4. INFORMATION NEEDED TO FINALIZE THE BUDGET</w:t>
      </w:r>
    </w:p>
    <w:p>
      <w:pPr>
        <w:pStyle w:val="ListNumber"/>
        <w:numPr>
          <w:numId w:val="10"/>
        </w:numPr>
        <w:spacing w:after="80" w:line="290" w:lineRule="auto"/>
      </w:pPr>
      <w:r>
        <w:t>City/district for the center, candidate facility floor area, and ownership/lease terms.</w:t>
      </w:r>
    </w:p>
    <w:p>
      <w:pPr>
        <w:pStyle w:val="ListNumber"/>
        <w:numPr>
          <w:numId w:val="10"/>
        </w:numPr>
        <w:spacing w:after="80" w:line="290" w:lineRule="auto"/>
      </w:pPr>
      <w:r>
        <w:t>Battery types to be covered in the first 18 months: portable, 12/24V, EV module/pack, ESS, etc.</w:t>
      </w:r>
    </w:p>
    <w:p>
      <w:pPr>
        <w:pStyle w:val="ListNumber"/>
        <w:numPr>
          <w:numId w:val="10"/>
        </w:numPr>
        <w:spacing w:after="80" w:line="290" w:lineRule="auto"/>
      </w:pPr>
      <w:r>
        <w:t>Planned maximum voltage, weight, dimensions, and peak monthly intake volume.</w:t>
      </w:r>
    </w:p>
    <w:p>
      <w:pPr>
        <w:pStyle w:val="ListNumber"/>
        <w:numPr>
          <w:numId w:val="10"/>
        </w:numPr>
        <w:spacing w:after="80" w:line="290" w:lineRule="auto"/>
      </w:pPr>
      <w:r>
        <w:t>Whether pack disassembly is included — assumed out of scope for this version.</w:t>
      </w:r>
    </w:p>
    <w:p>
      <w:pPr>
        <w:pStyle w:val="ListNumber"/>
        <w:numPr>
          <w:numId w:val="10"/>
        </w:numPr>
        <w:spacing w:after="80" w:line="290" w:lineRule="auto"/>
      </w:pPr>
      <w:r>
        <w:t>Required diagnostic precision, number of cycle-test channels, and BMS protocol coverage.</w:t>
      </w:r>
    </w:p>
    <w:p>
      <w:pPr>
        <w:pStyle w:val="ListNumber"/>
        <w:numPr>
          <w:numId w:val="10"/>
        </w:numPr>
        <w:spacing w:after="80" w:line="290" w:lineRule="auto"/>
      </w:pPr>
      <w:r>
        <w:t>Hazard classification, fire-engineering design, and insurance requirements.</w:t>
      </w:r>
    </w:p>
    <w:p>
      <w:pPr>
        <w:pStyle w:val="ListNumber"/>
        <w:numPr>
          <w:numId w:val="10"/>
        </w:numPr>
        <w:spacing w:after="80" w:line="290" w:lineRule="auto"/>
      </w:pPr>
      <w:r>
        <w:t>Transport radius, number of collection points, and packaging turnover stock.</w:t>
      </w:r>
    </w:p>
    <w:p>
      <w:pPr>
        <w:pStyle w:val="ListNumber"/>
        <w:numPr>
          <w:numId w:val="10"/>
        </w:numPr>
        <w:spacing w:after="80" w:line="290" w:lineRule="auto"/>
      </w:pPr>
      <w:r>
        <w:t>Staffing numbers, shifts, salaries, training, and any need for international experts.</w:t>
      </w:r>
    </w:p>
    <w:p>
      <w:pPr>
        <w:pStyle w:val="ListNumber"/>
        <w:numPr>
          <w:numId w:val="10"/>
        </w:numPr>
        <w:spacing w:after="80" w:line="290" w:lineRule="auto"/>
      </w:pPr>
      <w:r>
        <w:t>Project currency, tax/VAT, import, customs, delivery, calibration, and warranty terms.</w:t>
      </w:r>
    </w:p>
    <w:p>
      <w:pPr>
        <w:pStyle w:val="ListNumber"/>
        <w:numPr>
          <w:numId w:val="10"/>
        </w:numPr>
        <w:spacing w:after="80" w:line="290" w:lineRule="auto"/>
      </w:pPr>
      <w:r>
        <w:t>Post-pilot operator, ownership, and revenue model.</w:t>
      </w:r>
    </w:p>
    <w:p>
      <w:pPr>
        <w:pStyle w:val="Title"/>
      </w:pPr>
      <w:r>
        <w:t>APPENDIX 5. OPEN ITEMS TO BE CONFIRMED</w:t>
      </w:r>
    </w:p>
    <w:tbl>
      <w:tblPr>
        <w:tblStyle w:val="TableGrid"/>
        <w:tblW w:type="dxa" w:w="9360"/>
        <w:jc w:val="center"/>
        <w:tblLayout w:type="fixed"/>
        <w:tblLook w:firstColumn="1" w:firstRow="1" w:lastColumn="0" w:lastRow="0" w:noHBand="0" w:noVBand="1" w:val="04A0"/>
        <w:tblInd w:w="120" w:type="dxa"/>
      </w:tblPr>
      <w:tblGrid>
        <w:gridCol w:w="2000"/>
        <w:gridCol w:w="4300"/>
        <w:gridCol w:w="3060"/>
      </w:tblGrid>
      <w:tr>
        <w:trPr>
          <w:tblHeader w:val="true"/>
          <w:cantSplit/>
        </w:trPr>
        <w:tc>
          <w:tcPr>
            <w:tcW w:type="dxa" w:w="2000"/>
            <w:tcMar>
              <w:top w:w="80" w:type="dxa"/>
              <w:start w:w="120" w:type="dxa"/>
              <w:bottom w:w="80" w:type="dxa"/>
              <w:end w:w="120" w:type="dxa"/>
            </w:tcMar>
            <w:vAlign w:val="center"/>
            <w:shd w:fill="1F4D78"/>
          </w:tcPr>
          <w:p>
            <w:pPr>
              <w:spacing w:after="40" w:line="252" w:lineRule="auto"/>
            </w:pPr>
            <w:r>
              <w:rPr>
                <w:b/>
                <w:color w:val="FFFFFF"/>
                <w:sz w:val="19"/>
              </w:rPr>
              <w:t>Item</w:t>
            </w:r>
          </w:p>
        </w:tc>
        <w:tc>
          <w:tcPr>
            <w:tcW w:type="dxa" w:w="4300"/>
            <w:tcMar>
              <w:top w:w="80" w:type="dxa"/>
              <w:start w:w="120" w:type="dxa"/>
              <w:bottom w:w="80" w:type="dxa"/>
              <w:end w:w="120" w:type="dxa"/>
            </w:tcMar>
            <w:vAlign w:val="center"/>
            <w:shd w:fill="1F4D78"/>
          </w:tcPr>
          <w:p>
            <w:pPr>
              <w:spacing w:after="40" w:line="252" w:lineRule="auto"/>
            </w:pPr>
            <w:r>
              <w:rPr>
                <w:b/>
                <w:color w:val="FFFFFF"/>
                <w:sz w:val="19"/>
              </w:rPr>
              <w:t>Working Assumption in This Proposal</w:t>
            </w:r>
          </w:p>
        </w:tc>
        <w:tc>
          <w:tcPr>
            <w:tcW w:type="dxa" w:w="3060"/>
            <w:tcMar>
              <w:top w:w="80" w:type="dxa"/>
              <w:start w:w="120" w:type="dxa"/>
              <w:bottom w:w="80" w:type="dxa"/>
              <w:end w:w="120" w:type="dxa"/>
            </w:tcMar>
            <w:vAlign w:val="center"/>
            <w:shd w:fill="1F4D78"/>
          </w:tcPr>
          <w:p>
            <w:pPr>
              <w:spacing w:after="40" w:line="252" w:lineRule="auto"/>
            </w:pPr>
            <w:r>
              <w:rPr>
                <w:b/>
                <w:color w:val="FFFFFF"/>
                <w:sz w:val="19"/>
              </w:rPr>
              <w:t>Party to Confirm</w:t>
            </w:r>
          </w:p>
        </w:tc>
      </w:tr>
      <w:tr>
        <w:trPr>
          <w:cantSplit/>
        </w:trPr>
        <w:tc>
          <w:tcPr>
            <w:tcW w:type="dxa" w:w="2000"/>
            <w:tcMar>
              <w:top w:w="80" w:type="dxa"/>
              <w:start w:w="120" w:type="dxa"/>
              <w:bottom w:w="80" w:type="dxa"/>
              <w:end w:w="120" w:type="dxa"/>
            </w:tcMar>
            <w:vAlign w:val="center"/>
          </w:tcPr>
          <w:p>
            <w:pPr>
              <w:spacing w:after="40" w:line="252" w:lineRule="auto"/>
            </w:pPr>
            <w:r>
              <w:rPr>
                <w:sz w:val="19"/>
              </w:rPr>
              <w:t>Site</w:t>
            </w:r>
          </w:p>
        </w:tc>
        <w:tc>
          <w:tcPr>
            <w:tcW w:type="dxa" w:w="4300"/>
            <w:tcMar>
              <w:top w:w="80" w:type="dxa"/>
              <w:start w:w="120" w:type="dxa"/>
              <w:bottom w:w="80" w:type="dxa"/>
              <w:end w:w="120" w:type="dxa"/>
            </w:tcMar>
            <w:vAlign w:val="center"/>
          </w:tcPr>
          <w:p>
            <w:pPr>
              <w:spacing w:after="40" w:line="252" w:lineRule="auto"/>
            </w:pPr>
            <w:r>
              <w:rPr>
                <w:sz w:val="19"/>
              </w:rPr>
              <w:t>Mongolia; final city/site not yet selected</w:t>
            </w:r>
          </w:p>
        </w:tc>
        <w:tc>
          <w:tcPr>
            <w:tcW w:type="dxa" w:w="3060"/>
            <w:tcMar>
              <w:top w:w="80" w:type="dxa"/>
              <w:start w:w="120" w:type="dxa"/>
              <w:bottom w:w="80" w:type="dxa"/>
              <w:end w:w="120" w:type="dxa"/>
            </w:tcMar>
            <w:vAlign w:val="center"/>
          </w:tcPr>
          <w:p>
            <w:pPr>
              <w:spacing w:after="40" w:line="252" w:lineRule="auto"/>
            </w:pPr>
            <w:r>
              <w:rPr>
                <w:sz w:val="19"/>
              </w:rPr>
              <w:t>Project initiator + local authorities</w:t>
            </w:r>
          </w:p>
        </w:tc>
      </w:tr>
      <w:tr>
        <w:trPr>
          <w:cantSplit/>
        </w:trPr>
        <w:tc>
          <w:tcPr>
            <w:tcW w:type="dxa" w:w="2000"/>
            <w:tcMar>
              <w:top w:w="80" w:type="dxa"/>
              <w:start w:w="120" w:type="dxa"/>
              <w:bottom w:w="80" w:type="dxa"/>
              <w:end w:w="120" w:type="dxa"/>
            </w:tcMar>
            <w:vAlign w:val="center"/>
            <w:shd w:fill="F8FAFC"/>
          </w:tcPr>
          <w:p>
            <w:pPr>
              <w:spacing w:after="40" w:line="252" w:lineRule="auto"/>
            </w:pPr>
            <w:r>
              <w:rPr>
                <w:sz w:val="19"/>
              </w:rPr>
              <w:t>Legal Classification</w:t>
            </w:r>
          </w:p>
        </w:tc>
        <w:tc>
          <w:tcPr>
            <w:tcW w:type="dxa" w:w="4300"/>
            <w:tcMar>
              <w:top w:w="80" w:type="dxa"/>
              <w:start w:w="120" w:type="dxa"/>
              <w:bottom w:w="80" w:type="dxa"/>
              <w:end w:w="120" w:type="dxa"/>
            </w:tcMar>
            <w:vAlign w:val="center"/>
            <w:shd w:fill="F8FAFC"/>
          </w:tcPr>
          <w:p>
            <w:pPr>
              <w:spacing w:after="40" w:line="252" w:lineRule="auto"/>
            </w:pPr>
            <w:r>
              <w:rPr>
                <w:sz w:val="19"/>
              </w:rPr>
              <w:t>All applicable permits will be mapped in advance</w:t>
            </w:r>
          </w:p>
        </w:tc>
        <w:tc>
          <w:tcPr>
            <w:tcW w:type="dxa" w:w="3060"/>
            <w:tcMar>
              <w:top w:w="80" w:type="dxa"/>
              <w:start w:w="120" w:type="dxa"/>
              <w:bottom w:w="80" w:type="dxa"/>
              <w:end w:w="120" w:type="dxa"/>
            </w:tcMar>
            <w:vAlign w:val="center"/>
            <w:shd w:fill="F8FAFC"/>
          </w:tcPr>
          <w:p>
            <w:pPr>
              <w:spacing w:after="40" w:line="252" w:lineRule="auto"/>
            </w:pPr>
            <w:r>
              <w:rPr>
                <w:sz w:val="19"/>
              </w:rPr>
              <w:t>Legal advisor + relevant authority</w:t>
            </w:r>
          </w:p>
        </w:tc>
      </w:tr>
      <w:tr>
        <w:trPr>
          <w:cantSplit/>
        </w:trPr>
        <w:tc>
          <w:tcPr>
            <w:tcW w:type="dxa" w:w="2000"/>
            <w:tcMar>
              <w:top w:w="80" w:type="dxa"/>
              <w:start w:w="120" w:type="dxa"/>
              <w:bottom w:w="80" w:type="dxa"/>
              <w:end w:w="120" w:type="dxa"/>
            </w:tcMar>
            <w:vAlign w:val="center"/>
          </w:tcPr>
          <w:p>
            <w:pPr>
              <w:spacing w:after="40" w:line="252" w:lineRule="auto"/>
            </w:pPr>
            <w:r>
              <w:rPr>
                <w:sz w:val="19"/>
              </w:rPr>
              <w:t>Battery Scope</w:t>
            </w:r>
          </w:p>
        </w:tc>
        <w:tc>
          <w:tcPr>
            <w:tcW w:type="dxa" w:w="4300"/>
            <w:tcMar>
              <w:top w:w="80" w:type="dxa"/>
              <w:start w:w="120" w:type="dxa"/>
              <w:bottom w:w="80" w:type="dxa"/>
              <w:end w:w="120" w:type="dxa"/>
            </w:tcMar>
            <w:vAlign w:val="center"/>
          </w:tcPr>
          <w:p>
            <w:pPr>
              <w:spacing w:after="40" w:line="252" w:lineRule="auto"/>
            </w:pPr>
            <w:r>
              <w:rPr>
                <w:sz w:val="19"/>
              </w:rPr>
              <w:t>Limited at pilot start, expanded based on risk assessment</w:t>
            </w:r>
          </w:p>
        </w:tc>
        <w:tc>
          <w:tcPr>
            <w:tcW w:type="dxa" w:w="3060"/>
            <w:tcMar>
              <w:top w:w="80" w:type="dxa"/>
              <w:start w:w="120" w:type="dxa"/>
              <w:bottom w:w="80" w:type="dxa"/>
              <w:end w:w="120" w:type="dxa"/>
            </w:tcMar>
            <w:vAlign w:val="center"/>
          </w:tcPr>
          <w:p>
            <w:pPr>
              <w:spacing w:after="40" w:line="252" w:lineRule="auto"/>
            </w:pPr>
            <w:r>
              <w:rPr>
                <w:sz w:val="19"/>
              </w:rPr>
              <w:t>Technical Committee</w:t>
            </w:r>
          </w:p>
        </w:tc>
      </w:tr>
      <w:tr>
        <w:trPr>
          <w:cantSplit/>
        </w:trPr>
        <w:tc>
          <w:tcPr>
            <w:tcW w:type="dxa" w:w="2000"/>
            <w:tcMar>
              <w:top w:w="80" w:type="dxa"/>
              <w:start w:w="120" w:type="dxa"/>
              <w:bottom w:w="80" w:type="dxa"/>
              <w:end w:w="120" w:type="dxa"/>
            </w:tcMar>
            <w:vAlign w:val="center"/>
            <w:shd w:fill="F8FAFC"/>
          </w:tcPr>
          <w:p>
            <w:pPr>
              <w:spacing w:after="40" w:line="252" w:lineRule="auto"/>
            </w:pPr>
            <w:r>
              <w:rPr>
                <w:sz w:val="19"/>
              </w:rPr>
              <w:t>Volume</w:t>
            </w:r>
          </w:p>
        </w:tc>
        <w:tc>
          <w:tcPr>
            <w:tcW w:type="dxa" w:w="4300"/>
            <w:tcMar>
              <w:top w:w="80" w:type="dxa"/>
              <w:start w:w="120" w:type="dxa"/>
              <w:bottom w:w="80" w:type="dxa"/>
              <w:end w:w="120" w:type="dxa"/>
            </w:tcMar>
            <w:vAlign w:val="center"/>
            <w:shd w:fill="F8FAFC"/>
          </w:tcPr>
          <w:p>
            <w:pPr>
              <w:spacing w:after="40" w:line="252" w:lineRule="auto"/>
            </w:pPr>
            <w:r>
              <w:rPr>
                <w:sz w:val="19"/>
              </w:rPr>
              <w:t>To be set after baseline research</w:t>
            </w:r>
          </w:p>
        </w:tc>
        <w:tc>
          <w:tcPr>
            <w:tcW w:type="dxa" w:w="3060"/>
            <w:tcMar>
              <w:top w:w="80" w:type="dxa"/>
              <w:start w:w="120" w:type="dxa"/>
              <w:bottom w:w="80" w:type="dxa"/>
              <w:end w:w="120" w:type="dxa"/>
            </w:tcMar>
            <w:vAlign w:val="center"/>
            <w:shd w:fill="F8FAFC"/>
          </w:tcPr>
          <w:p>
            <w:pPr>
              <w:spacing w:after="40" w:line="252" w:lineRule="auto"/>
            </w:pPr>
            <w:r>
              <w:rPr>
                <w:sz w:val="19"/>
              </w:rPr>
              <w:t>Project team + partners</w:t>
            </w:r>
          </w:p>
        </w:tc>
      </w:tr>
      <w:tr>
        <w:trPr>
          <w:cantSplit/>
        </w:trPr>
        <w:tc>
          <w:tcPr>
            <w:tcW w:type="dxa" w:w="2000"/>
            <w:tcMar>
              <w:top w:w="80" w:type="dxa"/>
              <w:start w:w="120" w:type="dxa"/>
              <w:bottom w:w="80" w:type="dxa"/>
              <w:end w:w="120" w:type="dxa"/>
            </w:tcMar>
            <w:vAlign w:val="center"/>
          </w:tcPr>
          <w:p>
            <w:pPr>
              <w:spacing w:after="40" w:line="252" w:lineRule="auto"/>
            </w:pPr>
            <w:r>
              <w:rPr>
                <w:sz w:val="19"/>
              </w:rPr>
              <w:t>Budget</w:t>
            </w:r>
          </w:p>
        </w:tc>
        <w:tc>
          <w:tcPr>
            <w:tcW w:type="dxa" w:w="4300"/>
            <w:tcMar>
              <w:top w:w="80" w:type="dxa"/>
              <w:start w:w="120" w:type="dxa"/>
              <w:bottom w:w="80" w:type="dxa"/>
              <w:end w:w="120" w:type="dxa"/>
            </w:tcMar>
            <w:vAlign w:val="center"/>
          </w:tcPr>
          <w:p>
            <w:pPr>
              <w:spacing w:after="40" w:line="252" w:lineRule="auto"/>
            </w:pPr>
            <w:r>
              <w:rPr>
                <w:sz w:val="19"/>
              </w:rPr>
              <w:t>Figures left blank pending quotes and design</w:t>
            </w:r>
          </w:p>
        </w:tc>
        <w:tc>
          <w:tcPr>
            <w:tcW w:type="dxa" w:w="3060"/>
            <w:tcMar>
              <w:top w:w="80" w:type="dxa"/>
              <w:start w:w="120" w:type="dxa"/>
              <w:bottom w:w="80" w:type="dxa"/>
              <w:end w:w="120" w:type="dxa"/>
            </w:tcMar>
            <w:vAlign w:val="center"/>
          </w:tcPr>
          <w:p>
            <w:pPr>
              <w:spacing w:after="40" w:line="252" w:lineRule="auto"/>
            </w:pPr>
            <w:r>
              <w:rPr>
                <w:sz w:val="19"/>
              </w:rPr>
              <w:t>Finance + procurement</w:t>
            </w:r>
          </w:p>
        </w:tc>
      </w:tr>
      <w:tr>
        <w:trPr>
          <w:cantSplit/>
        </w:trPr>
        <w:tc>
          <w:tcPr>
            <w:tcW w:type="dxa" w:w="2000"/>
            <w:tcMar>
              <w:top w:w="80" w:type="dxa"/>
              <w:start w:w="120" w:type="dxa"/>
              <w:bottom w:w="80" w:type="dxa"/>
              <w:end w:w="120" w:type="dxa"/>
            </w:tcMar>
            <w:vAlign w:val="center"/>
            <w:shd w:fill="F8FAFC"/>
          </w:tcPr>
          <w:p>
            <w:pPr>
              <w:spacing w:after="40" w:line="252" w:lineRule="auto"/>
            </w:pPr>
            <w:r>
              <w:rPr>
                <w:sz w:val="19"/>
              </w:rPr>
              <w:t>Downstream Processor</w:t>
            </w:r>
          </w:p>
        </w:tc>
        <w:tc>
          <w:tcPr>
            <w:tcW w:type="dxa" w:w="4300"/>
            <w:tcMar>
              <w:top w:w="80" w:type="dxa"/>
              <w:start w:w="120" w:type="dxa"/>
              <w:bottom w:w="80" w:type="dxa"/>
              <w:end w:w="120" w:type="dxa"/>
            </w:tcMar>
            <w:vAlign w:val="center"/>
            <w:shd w:fill="F8FAFC"/>
          </w:tcPr>
          <w:p>
            <w:pPr>
              <w:spacing w:after="40" w:line="252" w:lineRule="auto"/>
            </w:pPr>
            <w:r>
              <w:rPr>
                <w:sz w:val="19"/>
              </w:rPr>
              <w:t>To be confirmed via license, capacity, and contract</w:t>
            </w:r>
          </w:p>
        </w:tc>
        <w:tc>
          <w:tcPr>
            <w:tcW w:type="dxa" w:w="3060"/>
            <w:tcMar>
              <w:top w:w="80" w:type="dxa"/>
              <w:start w:w="120" w:type="dxa"/>
              <w:bottom w:w="80" w:type="dxa"/>
              <w:end w:w="120" w:type="dxa"/>
            </w:tcMar>
            <w:vAlign w:val="center"/>
            <w:shd w:fill="F8FAFC"/>
          </w:tcPr>
          <w:p>
            <w:pPr>
              <w:spacing w:after="40" w:line="252" w:lineRule="auto"/>
            </w:pPr>
            <w:r>
              <w:rPr>
                <w:sz w:val="19"/>
              </w:rPr>
              <w:t>Project Manager</w:t>
            </w:r>
          </w:p>
        </w:tc>
      </w:tr>
      <w:tr>
        <w:trPr>
          <w:cantSplit/>
        </w:trPr>
        <w:tc>
          <w:tcPr>
            <w:tcW w:type="dxa" w:w="2000"/>
            <w:tcMar>
              <w:top w:w="80" w:type="dxa"/>
              <w:start w:w="120" w:type="dxa"/>
              <w:bottom w:w="80" w:type="dxa"/>
              <w:end w:w="120" w:type="dxa"/>
            </w:tcMar>
            <w:vAlign w:val="center"/>
          </w:tcPr>
          <w:p>
            <w:pPr>
              <w:spacing w:after="40" w:line="252" w:lineRule="auto"/>
            </w:pPr>
            <w:r>
              <w:rPr>
                <w:sz w:val="19"/>
              </w:rPr>
              <w:t>Second-life</w:t>
            </w:r>
          </w:p>
        </w:tc>
        <w:tc>
          <w:tcPr>
            <w:tcW w:type="dxa" w:w="4300"/>
            <w:tcMar>
              <w:top w:w="80" w:type="dxa"/>
              <w:start w:w="120" w:type="dxa"/>
              <w:bottom w:w="80" w:type="dxa"/>
              <w:end w:w="120" w:type="dxa"/>
            </w:tcMar>
            <w:vAlign w:val="center"/>
          </w:tcPr>
          <w:p>
            <w:pPr>
              <w:spacing w:after="40" w:line="252" w:lineRule="auto"/>
            </w:pPr>
            <w:r>
              <w:rPr>
                <w:sz w:val="19"/>
              </w:rPr>
              <w:t>Not used without separate engineering validation</w:t>
            </w:r>
          </w:p>
        </w:tc>
        <w:tc>
          <w:tcPr>
            <w:tcW w:type="dxa" w:w="3060"/>
            <w:tcMar>
              <w:top w:w="80" w:type="dxa"/>
              <w:start w:w="120" w:type="dxa"/>
              <w:bottom w:w="80" w:type="dxa"/>
              <w:end w:w="120" w:type="dxa"/>
            </w:tcMar>
            <w:vAlign w:val="center"/>
          </w:tcPr>
          <w:p>
            <w:pPr>
              <w:spacing w:after="40" w:line="252" w:lineRule="auto"/>
            </w:pPr>
            <w:r>
              <w:rPr>
                <w:sz w:val="19"/>
              </w:rPr>
              <w:t>Technical Committee</w:t>
            </w:r>
          </w:p>
        </w:tc>
      </w:tr>
    </w:tbl>
    <w:p>
      <w:pPr>
        <w:spacing w:after="20"/>
      </w:pPr>
    </w:p>
    <w:p>
      <w:pPr>
        <w:jc w:val="center"/>
      </w:pPr>
      <w:r>
        <w:t>— END OF DOCUMENT —</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MCBI | Project Concept and Implementation Proposal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B6573"/>
        <w:sz w:val="16"/>
      </w:rPr>
      <w:t>MONGOLIA CIRCULAR BATTERY INITIATIVE (MCBI)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07">
    <w:nsid w:val="1A2B3C4D"/>
    <w:multiLevelType w:val="singleLevel"/>
    <w:tmpl w:val="1A2B3C4D"/>
    <w:lvl w:ilvl="0">
      <w:start w:val="1"/>
      <w:numFmt w:val="decimal"/>
      <w:lvlText w:val="%1."/>
      <w:lvlJc w:val="left"/>
      <w:pPr>
        <w:tabs>
          <w:tab w:val="num" w:pos="360"/>
        </w:tabs>
        <w:ind w:left="36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2025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2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732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Батарейн оношилгоо, туршилт болон чухал ашигт малтмал сэргээн боловсруулах судалгааны төв байгуулах төсөл</dc:title>
  <dc:subject>MCBI төслийн бүрэн санал</dc:subject>
  <dc:creator>Mongolia Circular Battery Initiative (MCBI)</dc:creator>
  <cp:keywords/>
  <dc:description>generated by python-docx</dc:description>
  <cp:lastModifiedBy/>
  <cp:revision>1</cp:revision>
  <dcterms:created xsi:type="dcterms:W3CDTF">2013-12-23T23:15:00Z</dcterms:created>
  <dcterms:modified xsi:type="dcterms:W3CDTF">2013-12-23T23:15:00Z</dcterms:modified>
  <cp:category/>
</cp:coreProperties>
</file>